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5BE" w:rsidRDefault="00E075BE" w:rsidP="00E075BE">
      <w:pPr>
        <w:spacing w:line="240" w:lineRule="auto"/>
        <w:jc w:val="center"/>
        <w:rPr>
          <w:b/>
          <w:sz w:val="28"/>
        </w:rPr>
      </w:pPr>
      <w:bookmarkStart w:id="0" w:name="_GoBack"/>
      <w:bookmarkEnd w:id="0"/>
      <w:r>
        <w:rPr>
          <w:b/>
          <w:sz w:val="28"/>
        </w:rPr>
        <w:t>Budget Policy and Practice</w:t>
      </w:r>
      <w:r w:rsidRPr="00152D10">
        <w:rPr>
          <w:b/>
          <w:sz w:val="28"/>
        </w:rPr>
        <w:t xml:space="preserve"> </w:t>
      </w:r>
      <w:r>
        <w:rPr>
          <w:b/>
          <w:sz w:val="28"/>
        </w:rPr>
        <w:t xml:space="preserve">for </w:t>
      </w:r>
      <w:r w:rsidRPr="00152D10">
        <w:rPr>
          <w:b/>
          <w:sz w:val="28"/>
        </w:rPr>
        <w:t>Shared Frameworks</w:t>
      </w:r>
    </w:p>
    <w:p w:rsidR="00E075BE" w:rsidRPr="00990837" w:rsidRDefault="003104E4" w:rsidP="00C97E5A">
      <w:pPr>
        <w:pStyle w:val="ListParagraph"/>
        <w:ind w:left="0"/>
        <w:jc w:val="center"/>
        <w:rPr>
          <w:i/>
        </w:rPr>
      </w:pPr>
      <w:r w:rsidRPr="003104E4">
        <w:rPr>
          <w:i/>
        </w:rPr>
        <w:t xml:space="preserve">This policy is in effect from </w:t>
      </w:r>
      <w:r>
        <w:rPr>
          <w:i/>
        </w:rPr>
        <w:t>April</w:t>
      </w:r>
      <w:r w:rsidRPr="003104E4">
        <w:rPr>
          <w:i/>
        </w:rPr>
        <w:t xml:space="preserve"> 1, 201</w:t>
      </w:r>
      <w:r>
        <w:rPr>
          <w:i/>
        </w:rPr>
        <w:t>5</w:t>
      </w:r>
      <w:r w:rsidRPr="003104E4">
        <w:rPr>
          <w:i/>
        </w:rPr>
        <w:t xml:space="preserve">, and will be revised periodically based on experience. </w:t>
      </w:r>
      <w:r w:rsidR="00E075BE" w:rsidRPr="00990837">
        <w:rPr>
          <w:i/>
        </w:rPr>
        <w:t xml:space="preserve">This document aims to lay out the </w:t>
      </w:r>
      <w:r w:rsidR="00971F8A">
        <w:rPr>
          <w:i/>
        </w:rPr>
        <w:t>budget process particular to</w:t>
      </w:r>
      <w:r w:rsidR="00E075BE" w:rsidRPr="00990837">
        <w:rPr>
          <w:i/>
        </w:rPr>
        <w:t xml:space="preserve"> Shared Frameworks; however, Shared Frameworks </w:t>
      </w:r>
      <w:r w:rsidR="00971F8A">
        <w:rPr>
          <w:i/>
        </w:rPr>
        <w:t>funds are covered by</w:t>
      </w:r>
      <w:r w:rsidR="00E075BE" w:rsidRPr="00990837">
        <w:rPr>
          <w:i/>
        </w:rPr>
        <w:t xml:space="preserve"> the </w:t>
      </w:r>
      <w:hyperlink r:id="rId9" w:history="1">
        <w:r w:rsidR="00E075BE" w:rsidRPr="00DB3A94">
          <w:rPr>
            <w:rStyle w:val="Hyperlink"/>
            <w:i/>
          </w:rPr>
          <w:t>Reserve Funds Policy</w:t>
        </w:r>
      </w:hyperlink>
      <w:r w:rsidR="00E075BE" w:rsidRPr="00990837">
        <w:rPr>
          <w:i/>
        </w:rPr>
        <w:t xml:space="preserve"> and </w:t>
      </w:r>
      <w:r w:rsidR="00971F8A">
        <w:rPr>
          <w:i/>
        </w:rPr>
        <w:t>are</w:t>
      </w:r>
      <w:r w:rsidR="00971F8A" w:rsidRPr="00990837">
        <w:rPr>
          <w:i/>
        </w:rPr>
        <w:t xml:space="preserve"> </w:t>
      </w:r>
      <w:r w:rsidR="00E075BE" w:rsidRPr="00990837">
        <w:rPr>
          <w:i/>
        </w:rPr>
        <w:t xml:space="preserve">bound to the </w:t>
      </w:r>
      <w:r w:rsidR="00971F8A">
        <w:rPr>
          <w:i/>
        </w:rPr>
        <w:t>broader process outlined in that policy</w:t>
      </w:r>
      <w:r w:rsidR="00E075BE" w:rsidRPr="00990837">
        <w:rPr>
          <w:i/>
        </w:rPr>
        <w:t xml:space="preserve">. Elements </w:t>
      </w:r>
      <w:r w:rsidR="00971F8A" w:rsidRPr="00990837">
        <w:rPr>
          <w:i/>
        </w:rPr>
        <w:t>c</w:t>
      </w:r>
      <w:r w:rsidR="00971F8A">
        <w:rPr>
          <w:i/>
        </w:rPr>
        <w:t>entral</w:t>
      </w:r>
      <w:r w:rsidR="00971F8A" w:rsidRPr="00990837">
        <w:rPr>
          <w:i/>
        </w:rPr>
        <w:t xml:space="preserve"> </w:t>
      </w:r>
      <w:r w:rsidR="00E075BE" w:rsidRPr="00990837">
        <w:rPr>
          <w:i/>
        </w:rPr>
        <w:t>to the Reserve Funds Policy are applied throughout this document.</w:t>
      </w:r>
    </w:p>
    <w:p w:rsidR="00E075BE" w:rsidRPr="00E265EE" w:rsidRDefault="00E075BE" w:rsidP="00E075BE">
      <w:pPr>
        <w:pStyle w:val="ListParagraph"/>
        <w:ind w:left="0"/>
      </w:pPr>
    </w:p>
    <w:p w:rsidR="00E075BE" w:rsidRPr="002D727E" w:rsidRDefault="00E075BE" w:rsidP="00E075BE">
      <w:pPr>
        <w:pStyle w:val="ListParagraph"/>
        <w:numPr>
          <w:ilvl w:val="0"/>
          <w:numId w:val="1"/>
        </w:numPr>
        <w:rPr>
          <w:b/>
        </w:rPr>
      </w:pPr>
      <w:r>
        <w:rPr>
          <w:b/>
        </w:rPr>
        <w:t xml:space="preserve">Why do Shared Frameworks have a separate policy and process? </w:t>
      </w:r>
    </w:p>
    <w:p w:rsidR="00E075BE" w:rsidRDefault="00E075BE" w:rsidP="00E075BE">
      <w:pPr>
        <w:pStyle w:val="ListParagraph"/>
        <w:ind w:left="0"/>
      </w:pPr>
      <w:r>
        <w:t>The architecture of Shared F</w:t>
      </w:r>
      <w:r w:rsidRPr="008026C0">
        <w:t>ramework</w:t>
      </w:r>
      <w:r>
        <w:t>s</w:t>
      </w:r>
      <w:r w:rsidRPr="008026C0">
        <w:t xml:space="preserve"> differs from the normal OSF organizational structure</w:t>
      </w:r>
      <w:r w:rsidR="005700E4">
        <w:t>, in that</w:t>
      </w:r>
      <w:r w:rsidRPr="008026C0">
        <w:t xml:space="preserve"> the work is owned by multiple participants across the network. </w:t>
      </w:r>
      <w:r>
        <w:t>The fluid configuration allows programs, foundations, and advocacy offices (“units”) to contribute their own programming, but this very design also prevents visibility into the work itself using traditional reporting methods. Therefore, it becomes vital to have a common link, in the form of Categories of Work for each Share</w:t>
      </w:r>
      <w:r w:rsidR="005700E4">
        <w:t>d</w:t>
      </w:r>
      <w:r>
        <w:t xml:space="preserve"> Framework topic, to capture the activities across the network. </w:t>
      </w:r>
    </w:p>
    <w:p w:rsidR="00E075BE" w:rsidRDefault="00E075BE" w:rsidP="00E075BE">
      <w:pPr>
        <w:pStyle w:val="ListParagraph"/>
        <w:ind w:left="0"/>
      </w:pPr>
    </w:p>
    <w:p w:rsidR="00E075BE" w:rsidRPr="002D727E" w:rsidRDefault="00E075BE" w:rsidP="00E075BE">
      <w:pPr>
        <w:pStyle w:val="ListParagraph"/>
        <w:keepNext/>
        <w:numPr>
          <w:ilvl w:val="0"/>
          <w:numId w:val="1"/>
        </w:numPr>
        <w:rPr>
          <w:b/>
        </w:rPr>
      </w:pPr>
      <w:r>
        <w:rPr>
          <w:b/>
        </w:rPr>
        <w:t>Who makes decisions to allocate Shared Framework reserves?</w:t>
      </w:r>
      <w:r w:rsidRPr="002D727E">
        <w:rPr>
          <w:b/>
        </w:rPr>
        <w:t xml:space="preserve">   </w:t>
      </w:r>
    </w:p>
    <w:p w:rsidR="00E075BE" w:rsidRDefault="00491608" w:rsidP="00E075BE">
      <w:pPr>
        <w:spacing w:line="240" w:lineRule="auto"/>
      </w:pPr>
      <w:r>
        <w:t xml:space="preserve">A </w:t>
      </w:r>
      <w:r w:rsidR="00E075BE">
        <w:t>lead implementer (“Lead”)</w:t>
      </w:r>
      <w:r>
        <w:t>, appointed by the President,</w:t>
      </w:r>
      <w:r w:rsidR="00E075BE">
        <w:t xml:space="preserve"> oversees the management of each </w:t>
      </w:r>
      <w:r>
        <w:t>S</w:t>
      </w:r>
      <w:r w:rsidR="00E075BE">
        <w:t xml:space="preserve">hared </w:t>
      </w:r>
      <w:r>
        <w:t>F</w:t>
      </w:r>
      <w:r w:rsidR="00E075BE">
        <w:t xml:space="preserve">ramework and has authority to allocate </w:t>
      </w:r>
      <w:r w:rsidR="007A144A">
        <w:t xml:space="preserve">from the </w:t>
      </w:r>
      <w:r w:rsidR="00010B3D">
        <w:t>approved, annual</w:t>
      </w:r>
      <w:r w:rsidR="007A144A">
        <w:t xml:space="preserve"> Shared Framework </w:t>
      </w:r>
      <w:r w:rsidR="00010B3D">
        <w:t>budget</w:t>
      </w:r>
      <w:r w:rsidR="00E075BE">
        <w:t xml:space="preserve"> in amounts </w:t>
      </w:r>
      <w:r w:rsidR="00265071">
        <w:t>up to</w:t>
      </w:r>
      <w:r w:rsidR="00E075BE">
        <w:t xml:space="preserve"> $1 million </w:t>
      </w:r>
      <w:r w:rsidR="002F43E2">
        <w:t xml:space="preserve">per disbursement </w:t>
      </w:r>
      <w:r w:rsidR="00E075BE">
        <w:t xml:space="preserve">to participating units </w:t>
      </w:r>
      <w:r w:rsidR="005700E4">
        <w:t>throughout the year</w:t>
      </w:r>
      <w:r w:rsidR="00E075BE">
        <w:t xml:space="preserve">. </w:t>
      </w:r>
      <w:r w:rsidR="005700E4">
        <w:t xml:space="preserve">The Leads’ decisions will be based on their assessment of the best use of resources for the specific Shared Framework topic; their decision making is supported by an advisory committee that draws from relevant OSF </w:t>
      </w:r>
      <w:r w:rsidR="00465EDF">
        <w:t>units</w:t>
      </w:r>
      <w:r w:rsidR="005700E4">
        <w:t xml:space="preserve"> and staff. </w:t>
      </w:r>
      <w:r w:rsidR="00E075BE">
        <w:t xml:space="preserve">Each month, the Leads will have an opportunity to meet together with the President to discuss </w:t>
      </w:r>
      <w:r w:rsidR="005700E4">
        <w:t xml:space="preserve">allocations made or pending, and consider </w:t>
      </w:r>
      <w:r w:rsidR="00E075BE">
        <w:t>possible improvements to the structure and policies guiding the</w:t>
      </w:r>
      <w:r w:rsidR="005700E4">
        <w:t>m</w:t>
      </w:r>
      <w:r w:rsidR="00E075BE">
        <w:t xml:space="preserve">. </w:t>
      </w:r>
    </w:p>
    <w:p w:rsidR="00E075BE" w:rsidRPr="002D727E" w:rsidRDefault="00E075BE" w:rsidP="00E075BE">
      <w:pPr>
        <w:pStyle w:val="ListParagraph"/>
        <w:keepNext/>
        <w:numPr>
          <w:ilvl w:val="0"/>
          <w:numId w:val="1"/>
        </w:numPr>
        <w:rPr>
          <w:b/>
        </w:rPr>
      </w:pPr>
      <w:r>
        <w:rPr>
          <w:b/>
        </w:rPr>
        <w:t>What principles guide the budget</w:t>
      </w:r>
      <w:r w:rsidR="000A6A95">
        <w:rPr>
          <w:b/>
        </w:rPr>
        <w:t>s</w:t>
      </w:r>
      <w:r>
        <w:rPr>
          <w:b/>
        </w:rPr>
        <w:t xml:space="preserve"> of Shared Frameworks?</w:t>
      </w:r>
      <w:r w:rsidRPr="002D727E">
        <w:rPr>
          <w:b/>
        </w:rPr>
        <w:t xml:space="preserve">   </w:t>
      </w:r>
    </w:p>
    <w:p w:rsidR="001B4FAE" w:rsidRDefault="00E075BE" w:rsidP="002F43E2">
      <w:pPr>
        <w:spacing w:line="240" w:lineRule="auto"/>
      </w:pPr>
      <w:r>
        <w:t xml:space="preserve">Each approved Shared Framework is allocated an annual </w:t>
      </w:r>
      <w:r w:rsidR="00971F8A">
        <w:t xml:space="preserve">amount from the central </w:t>
      </w:r>
      <w:r>
        <w:t>reserve fund</w:t>
      </w:r>
      <w:r w:rsidR="00971F8A">
        <w:t>s</w:t>
      </w:r>
      <w:r>
        <w:t xml:space="preserve"> to supplement funds in the </w:t>
      </w:r>
      <w:r w:rsidR="00971F8A">
        <w:t xml:space="preserve">approved budgets of </w:t>
      </w:r>
      <w:r>
        <w:t xml:space="preserve">participating units. </w:t>
      </w:r>
      <w:r w:rsidR="000A6A95">
        <w:t xml:space="preserve">While each Shared Framework’s timespan may vary, the Lead will need to request an overall amount for the allocations </w:t>
      </w:r>
      <w:r w:rsidR="002F43E2">
        <w:t xml:space="preserve">required </w:t>
      </w:r>
      <w:r w:rsidR="000A6A95">
        <w:t xml:space="preserve">for each Shared Framework on an annual basis until the conclusion of the project. Any amount not allocated from the approved annual amount by the Lead at the end of each fiscal year will expire and return to the central reserve funds pool. </w:t>
      </w:r>
    </w:p>
    <w:p w:rsidR="001B4FAE" w:rsidRDefault="001B4FAE" w:rsidP="002F43E2">
      <w:pPr>
        <w:spacing w:line="240" w:lineRule="auto"/>
      </w:pPr>
      <w:r>
        <w:t xml:space="preserve">There is no strict, immediate matching requirement for programs or foundations that are seeking to participate in a particular </w:t>
      </w:r>
      <w:r w:rsidR="007A144A">
        <w:t>S</w:t>
      </w:r>
      <w:r>
        <w:t xml:space="preserve">hared </w:t>
      </w:r>
      <w:r w:rsidR="007A144A">
        <w:t>F</w:t>
      </w:r>
      <w:r>
        <w:t xml:space="preserve">ramework if it is newly approved.  However, meaningful participation in a </w:t>
      </w:r>
      <w:r w:rsidR="007A144A">
        <w:t>S</w:t>
      </w:r>
      <w:r>
        <w:t xml:space="preserve">hared </w:t>
      </w:r>
      <w:r w:rsidR="007A144A">
        <w:t>F</w:t>
      </w:r>
      <w:r>
        <w:t xml:space="preserve">ramework should be reflected in units’ strategy proposals and budget requests when it is time to review and adjust their strategy/budget documents in the subsequent cycle. Depending on the topic, Leads will need to strike their own balance between encouraging participation and seeking a demonstrated commitment in units’ own budgets. </w:t>
      </w:r>
    </w:p>
    <w:p w:rsidR="005673FE" w:rsidRDefault="001B4FAE" w:rsidP="002F43E2">
      <w:pPr>
        <w:spacing w:line="240" w:lineRule="auto"/>
      </w:pPr>
      <w:r>
        <w:t xml:space="preserve">An allocation of reserve funds does not change the base budget of the unit receiving the allocation. </w:t>
      </w:r>
      <w:r w:rsidR="000A6A95" w:rsidRPr="00DB1853">
        <w:t xml:space="preserve">In certain cases, </w:t>
      </w:r>
      <w:r w:rsidR="000A6A95">
        <w:t xml:space="preserve">Shared Framework reserve amounts already allocated to units may be extended into the following year where these meet the standard management commitment </w:t>
      </w:r>
      <w:hyperlink r:id="rId10" w:history="1">
        <w:r w:rsidR="000A6A95" w:rsidRPr="006F6A54">
          <w:rPr>
            <w:rStyle w:val="Hyperlink"/>
          </w:rPr>
          <w:t>criteria</w:t>
        </w:r>
      </w:hyperlink>
      <w:r w:rsidR="000A6A95">
        <w:t>.</w:t>
      </w:r>
    </w:p>
    <w:p w:rsidR="00E075BE" w:rsidRPr="002D727E" w:rsidRDefault="00E075BE" w:rsidP="00E075BE">
      <w:pPr>
        <w:pStyle w:val="ListParagraph"/>
        <w:keepNext/>
        <w:numPr>
          <w:ilvl w:val="0"/>
          <w:numId w:val="1"/>
        </w:numPr>
        <w:rPr>
          <w:b/>
        </w:rPr>
      </w:pPr>
      <w:r>
        <w:rPr>
          <w:b/>
        </w:rPr>
        <w:t>How can Shared Framework reserves be requested?</w:t>
      </w:r>
    </w:p>
    <w:p w:rsidR="000A6A95" w:rsidRDefault="000A6A95" w:rsidP="00E075BE">
      <w:pPr>
        <w:spacing w:line="240" w:lineRule="auto"/>
      </w:pPr>
      <w:r>
        <w:t>A Shared Framework reserves request often begins with some initial exchange between the proposing unit and the lead and/or advisory committee members, to test ideas and see if the unit’s plans line up with the Shared Framework’s goals. It is up to each Lead and advisory committee to determine if they would like to establish some process for these early discussions or leave them ad hoc.</w:t>
      </w:r>
    </w:p>
    <w:p w:rsidR="00E075BE" w:rsidRDefault="000A6A95" w:rsidP="00E075BE">
      <w:pPr>
        <w:spacing w:line="240" w:lineRule="auto"/>
      </w:pPr>
      <w:r>
        <w:t>Once ready, full r</w:t>
      </w:r>
      <w:r w:rsidR="00E075BE" w:rsidRPr="00A873DC">
        <w:t xml:space="preserve">equests for </w:t>
      </w:r>
      <w:r w:rsidR="00E075BE">
        <w:t>Shared Framework r</w:t>
      </w:r>
      <w:r w:rsidR="00E075BE" w:rsidRPr="00A873DC">
        <w:t>eserves should be</w:t>
      </w:r>
      <w:r w:rsidR="00E075BE">
        <w:t xml:space="preserve"> submitted by email to the Lead</w:t>
      </w:r>
      <w:r w:rsidR="00E075BE" w:rsidRPr="00A873DC">
        <w:t xml:space="preserve">, and should include: (1) the amount requested, (2) a brief summary (up to </w:t>
      </w:r>
      <w:r w:rsidR="00CF5C79">
        <w:t>100</w:t>
      </w:r>
      <w:r w:rsidR="00CF5C79" w:rsidRPr="00A873DC">
        <w:t xml:space="preserve"> </w:t>
      </w:r>
      <w:r w:rsidR="00E075BE" w:rsidRPr="00A873DC">
        <w:t xml:space="preserve">words) of </w:t>
      </w:r>
      <w:r w:rsidR="00CF5C79">
        <w:t>the work</w:t>
      </w:r>
      <w:r w:rsidR="00E075BE" w:rsidRPr="00A873DC">
        <w:t xml:space="preserve"> and </w:t>
      </w:r>
      <w:r w:rsidR="00CF5C79">
        <w:t xml:space="preserve">its </w:t>
      </w:r>
      <w:r w:rsidR="00E075BE" w:rsidRPr="00A873DC">
        <w:t xml:space="preserve">relation to overall Shared Framework goals, (3) a brief statement (up to 500 words) of the activities proposed, (4) </w:t>
      </w:r>
      <w:r w:rsidR="00CF5C79">
        <w:t>a brief summary (up to 100 words</w:t>
      </w:r>
      <w:r w:rsidR="007A144A">
        <w:t xml:space="preserve"> – can be identical to the first summary</w:t>
      </w:r>
      <w:r w:rsidR="00CF5C79">
        <w:t xml:space="preserve">) to be used for reporting to the Global Board, (5) </w:t>
      </w:r>
      <w:r w:rsidR="00E075BE" w:rsidRPr="00A873DC">
        <w:t xml:space="preserve">a brief statement (up to 250 words) of the contributions expected from various units within OSF and essential partners </w:t>
      </w:r>
      <w:r w:rsidR="00E075BE" w:rsidRPr="00A873DC">
        <w:lastRenderedPageBreak/>
        <w:t>or grantees, and (</w:t>
      </w:r>
      <w:r w:rsidR="00CF5C79">
        <w:t>6</w:t>
      </w:r>
      <w:r w:rsidR="00E075BE" w:rsidRPr="00A873DC">
        <w:t xml:space="preserve">) a statement of who within OSF would lead the work.  A request </w:t>
      </w:r>
      <w:r w:rsidR="008E7898">
        <w:t xml:space="preserve">may </w:t>
      </w:r>
      <w:r w:rsidR="00E075BE" w:rsidRPr="00A873DC">
        <w:t xml:space="preserve">be followed by a conversation </w:t>
      </w:r>
      <w:r w:rsidR="00E075BE">
        <w:t>to discuss the request in more detail</w:t>
      </w:r>
      <w:r w:rsidR="00E075BE" w:rsidRPr="00A873DC">
        <w:t>.</w:t>
      </w:r>
      <w:r w:rsidR="00E075BE">
        <w:t xml:space="preserve"> For reference, a template is provided in Appendix A</w:t>
      </w:r>
      <w:r w:rsidR="00081462">
        <w:t>; Leads may wish to adjust the template to request greater detail of contributing programs</w:t>
      </w:r>
      <w:r w:rsidR="00E075BE">
        <w:t xml:space="preserve">. </w:t>
      </w:r>
    </w:p>
    <w:p w:rsidR="00E075BE" w:rsidRPr="002D727E" w:rsidRDefault="00E075BE" w:rsidP="00E075BE">
      <w:pPr>
        <w:pStyle w:val="ListParagraph"/>
        <w:keepNext/>
        <w:numPr>
          <w:ilvl w:val="0"/>
          <w:numId w:val="1"/>
        </w:numPr>
        <w:rPr>
          <w:b/>
        </w:rPr>
      </w:pPr>
      <w:r>
        <w:rPr>
          <w:b/>
        </w:rPr>
        <w:t>What are the mechanics for allocating Shared Framework reserves to budget and expense lines?</w:t>
      </w:r>
    </w:p>
    <w:p w:rsidR="00E075BE" w:rsidRDefault="00E075BE" w:rsidP="00E075BE">
      <w:pPr>
        <w:pStyle w:val="NoSpacing"/>
      </w:pPr>
      <w:r>
        <w:t xml:space="preserve">Once the Lead approves a Shared Framework proposal, the budget is transferred to the participating unit’s own budget lines. </w:t>
      </w:r>
      <w:r w:rsidR="00CB1E74">
        <w:t xml:space="preserve">(Transfers to foundations may require an adjustment in the foundation’s annual award letter from OSF; please </w:t>
      </w:r>
      <w:r w:rsidR="007A144A">
        <w:t xml:space="preserve">see this </w:t>
      </w:r>
      <w:hyperlink r:id="rId11" w:history="1">
        <w:r w:rsidR="007A144A" w:rsidRPr="007A144A">
          <w:rPr>
            <w:rStyle w:val="Hyperlink"/>
          </w:rPr>
          <w:t>policy</w:t>
        </w:r>
      </w:hyperlink>
      <w:r w:rsidR="007A144A">
        <w:t xml:space="preserve"> and </w:t>
      </w:r>
      <w:r w:rsidR="00CB1E74">
        <w:t xml:space="preserve">consult with </w:t>
      </w:r>
      <w:r w:rsidR="007A144A">
        <w:t>Eric Patton in Grants Management and Peter Sziranyi in Finance</w:t>
      </w:r>
      <w:r w:rsidR="00CB1E74">
        <w:t xml:space="preserve"> for details.) </w:t>
      </w:r>
      <w:r>
        <w:t xml:space="preserve">Categories of Work are the only unique identifiers for Shared Framework projects so all approved allocations must reside in each Shared Framework’s Category of Work. Likewise, expenditures should be coded to the same Category of Work as the budget. </w:t>
      </w:r>
      <w:r w:rsidRPr="00DD0908">
        <w:t xml:space="preserve">As a general rule in all </w:t>
      </w:r>
      <w:r>
        <w:t>OSF systems, Categories</w:t>
      </w:r>
      <w:r w:rsidRPr="00DD0908">
        <w:t xml:space="preserve"> of Work will be found in the same area </w:t>
      </w:r>
      <w:r>
        <w:t xml:space="preserve">as other charge codes </w:t>
      </w:r>
      <w:r w:rsidRPr="00DD0908">
        <w:t>and can be searched for/entered in the same way as Division, Fund Class, and Geography.</w:t>
      </w:r>
      <w:r>
        <w:t xml:space="preserve"> Tracking of Shared Framework expenditures must be reflected in all relevant activities such as grants, professional fees, personnel costs, and administrative expenses.  </w:t>
      </w:r>
    </w:p>
    <w:p w:rsidR="00E075BE" w:rsidRDefault="00E075BE" w:rsidP="00E075BE">
      <w:pPr>
        <w:pStyle w:val="NoSpacing"/>
      </w:pPr>
    </w:p>
    <w:p w:rsidR="00E075BE" w:rsidRPr="002D727E" w:rsidRDefault="00E075BE" w:rsidP="00E075BE">
      <w:pPr>
        <w:pStyle w:val="ListParagraph"/>
        <w:keepNext/>
        <w:numPr>
          <w:ilvl w:val="0"/>
          <w:numId w:val="1"/>
        </w:numPr>
        <w:rPr>
          <w:b/>
        </w:rPr>
      </w:pPr>
      <w:r>
        <w:rPr>
          <w:b/>
        </w:rPr>
        <w:t>What is the process for Shared Framework setup and allocations?</w:t>
      </w:r>
    </w:p>
    <w:p w:rsidR="00E075BE" w:rsidRDefault="00E075BE" w:rsidP="00E075BE">
      <w:pPr>
        <w:pStyle w:val="NoSpacing"/>
        <w:numPr>
          <w:ilvl w:val="0"/>
          <w:numId w:val="2"/>
        </w:numPr>
      </w:pPr>
      <w:r w:rsidRPr="0030081C">
        <w:t xml:space="preserve">Once a </w:t>
      </w:r>
      <w:r>
        <w:t>S</w:t>
      </w:r>
      <w:r w:rsidRPr="0030081C">
        <w:t xml:space="preserve">hared </w:t>
      </w:r>
      <w:r>
        <w:t>F</w:t>
      </w:r>
      <w:r w:rsidRPr="0030081C">
        <w:t xml:space="preserve">ramework topic has been approved in accordance with the process outlined in The Souk, the President will identify a </w:t>
      </w:r>
      <w:r>
        <w:t>Lead to manage the new Shared F</w:t>
      </w:r>
      <w:r w:rsidRPr="0030081C">
        <w:t>ramework.</w:t>
      </w:r>
      <w:r w:rsidRPr="00497FF4">
        <w:t xml:space="preserve"> </w:t>
      </w:r>
      <w:r>
        <w:t xml:space="preserve">Leads can use Shared Framework budgets in two ways: (1) to launch and maintain their respective Shared Framework, </w:t>
      </w:r>
      <w:r w:rsidR="008E7898">
        <w:t>whether by hiring a</w:t>
      </w:r>
      <w:r>
        <w:t xml:space="preserve"> Coordinator </w:t>
      </w:r>
      <w:r w:rsidR="008E7898">
        <w:t>or engaging in other administrative tasks</w:t>
      </w:r>
      <w:r>
        <w:t xml:space="preserve">, and (2) </w:t>
      </w:r>
      <w:r w:rsidR="008E7898">
        <w:t>to support</w:t>
      </w:r>
      <w:r>
        <w:t xml:space="preserve"> participating units </w:t>
      </w:r>
      <w:r w:rsidR="008E7898">
        <w:t xml:space="preserve">by making allocations to them </w:t>
      </w:r>
      <w:r>
        <w:t>for grant</w:t>
      </w:r>
      <w:r w:rsidR="00081462">
        <w:t xml:space="preserve"> </w:t>
      </w:r>
      <w:r>
        <w:t>making, project work, and administration.</w:t>
      </w:r>
    </w:p>
    <w:p w:rsidR="00E075BE" w:rsidRDefault="00E075BE" w:rsidP="00E075BE">
      <w:pPr>
        <w:pStyle w:val="NoSpacing"/>
        <w:numPr>
          <w:ilvl w:val="0"/>
          <w:numId w:val="2"/>
        </w:numPr>
      </w:pPr>
      <w:r>
        <w:t xml:space="preserve">The Strategy Unit will notify the Budget Office of the new topic to initiate the setup of a unique Shared Framework Category of Work. This new code should be applied to all programmatic and administrative activities for the Shared Framework. </w:t>
      </w:r>
    </w:p>
    <w:p w:rsidR="00E075BE" w:rsidRDefault="00E075BE" w:rsidP="00E075BE">
      <w:pPr>
        <w:pStyle w:val="NoSpacing"/>
        <w:numPr>
          <w:ilvl w:val="0"/>
          <w:numId w:val="2"/>
        </w:numPr>
      </w:pPr>
      <w:r>
        <w:t xml:space="preserve">Units can submit their applications (see form in Appendix A) with supplemental materials, if any, to the Lead directly, which may be followed by further discussions to expand on the proposal.  </w:t>
      </w:r>
    </w:p>
    <w:p w:rsidR="00E075BE" w:rsidRDefault="00E075BE" w:rsidP="00E075BE">
      <w:pPr>
        <w:pStyle w:val="NoSpacing"/>
        <w:numPr>
          <w:ilvl w:val="0"/>
          <w:numId w:val="2"/>
        </w:numPr>
      </w:pPr>
      <w:r>
        <w:t>The Lead will notify the assigned Shared Framework budget contact when an application is approved, which will act as the trigger to move the Shared Framework budget directly into the p</w:t>
      </w:r>
      <w:r w:rsidRPr="00B2408E">
        <w:t xml:space="preserve">articipating </w:t>
      </w:r>
      <w:r>
        <w:t>unit</w:t>
      </w:r>
      <w:r w:rsidRPr="00B2408E">
        <w:t>’s budget</w:t>
      </w:r>
      <w:r>
        <w:t xml:space="preserve">.  </w:t>
      </w:r>
    </w:p>
    <w:p w:rsidR="00E075BE" w:rsidRDefault="00E075BE" w:rsidP="00E075BE">
      <w:pPr>
        <w:pStyle w:val="NoSpacing"/>
        <w:numPr>
          <w:ilvl w:val="0"/>
          <w:numId w:val="2"/>
        </w:numPr>
      </w:pPr>
      <w:r w:rsidRPr="00B2408E">
        <w:t xml:space="preserve">Once the budget </w:t>
      </w:r>
      <w:r>
        <w:t>transfer</w:t>
      </w:r>
      <w:r w:rsidRPr="00B2408E">
        <w:t xml:space="preserve"> has taken place, participating </w:t>
      </w:r>
      <w:r>
        <w:t>units should code expenses to the appropriate Shared F</w:t>
      </w:r>
      <w:r w:rsidRPr="00B2408E">
        <w:t xml:space="preserve">ramework </w:t>
      </w:r>
      <w:r w:rsidR="00556B92">
        <w:t xml:space="preserve">Category </w:t>
      </w:r>
      <w:r>
        <w:t xml:space="preserve">of Work </w:t>
      </w:r>
      <w:r w:rsidRPr="00B2408E">
        <w:t>to record grants or other activities in OSF systems.</w:t>
      </w:r>
      <w:r>
        <w:t xml:space="preserve"> </w:t>
      </w:r>
      <w:r w:rsidR="00081462">
        <w:t>Any Shared Framework expenses not correctly coded to the Shared Framework Category of Work will be recorded as expenditures against the participating unit’s own budget.</w:t>
      </w:r>
      <w:r>
        <w:t xml:space="preserve"> </w:t>
      </w:r>
      <w:r w:rsidR="00DB3A94">
        <w:t xml:space="preserve"> </w:t>
      </w:r>
      <w:r>
        <w:t xml:space="preserve">Please consult your budget contact if miscoding has occurred.  </w:t>
      </w:r>
    </w:p>
    <w:p w:rsidR="00E075BE" w:rsidRPr="00B2408E" w:rsidRDefault="008E7898" w:rsidP="00E075BE">
      <w:pPr>
        <w:pStyle w:val="ListParagraph"/>
        <w:numPr>
          <w:ilvl w:val="0"/>
          <w:numId w:val="2"/>
        </w:numPr>
      </w:pPr>
      <w:r>
        <w:rPr>
          <w:rFonts w:asciiTheme="minorHAnsi" w:eastAsiaTheme="minorHAnsi" w:hAnsiTheme="minorHAnsi" w:cstheme="minorBidi"/>
        </w:rPr>
        <w:t>Each Shared Framework Lead and Coordinator</w:t>
      </w:r>
      <w:r w:rsidR="00E075BE">
        <w:rPr>
          <w:rFonts w:asciiTheme="minorHAnsi" w:eastAsiaTheme="minorHAnsi" w:hAnsiTheme="minorHAnsi" w:cstheme="minorBidi"/>
        </w:rPr>
        <w:t xml:space="preserve">, with support from the </w:t>
      </w:r>
      <w:r w:rsidR="00E075BE" w:rsidRPr="00751948">
        <w:rPr>
          <w:rFonts w:asciiTheme="minorHAnsi" w:eastAsiaTheme="minorHAnsi" w:hAnsiTheme="minorHAnsi" w:cstheme="minorBidi"/>
        </w:rPr>
        <w:t>Strategy Unit</w:t>
      </w:r>
      <w:r w:rsidR="00E075BE">
        <w:rPr>
          <w:rFonts w:asciiTheme="minorHAnsi" w:eastAsiaTheme="minorHAnsi" w:hAnsiTheme="minorHAnsi" w:cstheme="minorBidi"/>
        </w:rPr>
        <w:t xml:space="preserve"> and Budget Office,</w:t>
      </w:r>
      <w:r w:rsidR="00E075BE" w:rsidRPr="00751948">
        <w:rPr>
          <w:rFonts w:asciiTheme="minorHAnsi" w:eastAsiaTheme="minorHAnsi" w:hAnsiTheme="minorHAnsi" w:cstheme="minorBidi"/>
        </w:rPr>
        <w:t xml:space="preserve"> will manage any reporting and monitoring requirements.</w:t>
      </w:r>
      <w:r w:rsidR="00E075BE">
        <w:rPr>
          <w:rFonts w:asciiTheme="minorHAnsi" w:eastAsiaTheme="minorHAnsi" w:hAnsiTheme="minorHAnsi" w:cstheme="minorBidi"/>
        </w:rPr>
        <w:t xml:space="preserve"> Budget allocations and expenditures report</w:t>
      </w:r>
      <w:r w:rsidR="00DB3A94">
        <w:rPr>
          <w:rFonts w:asciiTheme="minorHAnsi" w:eastAsiaTheme="minorHAnsi" w:hAnsiTheme="minorHAnsi" w:cstheme="minorBidi"/>
        </w:rPr>
        <w:t>s</w:t>
      </w:r>
      <w:r w:rsidR="00E075BE">
        <w:rPr>
          <w:rFonts w:asciiTheme="minorHAnsi" w:eastAsiaTheme="minorHAnsi" w:hAnsiTheme="minorHAnsi" w:cstheme="minorBidi"/>
        </w:rPr>
        <w:t xml:space="preserve"> will be provided to the Leads </w:t>
      </w:r>
      <w:r>
        <w:rPr>
          <w:rFonts w:asciiTheme="minorHAnsi" w:eastAsiaTheme="minorHAnsi" w:hAnsiTheme="minorHAnsi" w:cstheme="minorBidi"/>
        </w:rPr>
        <w:t>by the Budget Office in advance of</w:t>
      </w:r>
      <w:r w:rsidR="00E075BE">
        <w:rPr>
          <w:rFonts w:asciiTheme="minorHAnsi" w:eastAsiaTheme="minorHAnsi" w:hAnsiTheme="minorHAnsi" w:cstheme="minorBidi"/>
        </w:rPr>
        <w:t xml:space="preserve"> their monthly meeting with the President to evaluate the progress of each Shared Framework topic.  </w:t>
      </w:r>
    </w:p>
    <w:p w:rsidR="00E075BE" w:rsidRDefault="00E075BE" w:rsidP="00E075BE">
      <w:pPr>
        <w:pStyle w:val="NoSpacing"/>
        <w:ind w:left="720"/>
      </w:pPr>
    </w:p>
    <w:p w:rsidR="00E075BE" w:rsidRPr="002D727E" w:rsidRDefault="00E075BE" w:rsidP="00E075BE">
      <w:pPr>
        <w:pStyle w:val="ListParagraph"/>
        <w:keepNext/>
        <w:numPr>
          <w:ilvl w:val="0"/>
          <w:numId w:val="1"/>
        </w:numPr>
        <w:rPr>
          <w:b/>
        </w:rPr>
      </w:pPr>
      <w:r>
        <w:rPr>
          <w:b/>
        </w:rPr>
        <w:t>How will the policy and process be monitored and changed over time?</w:t>
      </w:r>
    </w:p>
    <w:p w:rsidR="00CB1E74" w:rsidRDefault="00E075BE">
      <w:r>
        <w:t xml:space="preserve">All formal requests for Shared Framework reserves and the allocation decisions will be available on </w:t>
      </w:r>
      <w:hyperlink r:id="rId12" w:history="1">
        <w:r w:rsidRPr="00937EE8">
          <w:rPr>
            <w:rStyle w:val="Hyperlink"/>
          </w:rPr>
          <w:t>KARL</w:t>
        </w:r>
      </w:hyperlink>
      <w:r>
        <w:t xml:space="preserve"> for review by interested staff members. </w:t>
      </w:r>
      <w:r w:rsidRPr="00E265EE">
        <w:t xml:space="preserve">This policy will be revised periodically based on </w:t>
      </w:r>
      <w:r>
        <w:t xml:space="preserve">the outcome of the monthly allocations meeting with the Leads and the President, as well as </w:t>
      </w:r>
      <w:r w:rsidR="00CB1E74">
        <w:t xml:space="preserve">the </w:t>
      </w:r>
      <w:r w:rsidRPr="00E265EE">
        <w:t>experience</w:t>
      </w:r>
      <w:r>
        <w:t xml:space="preserve"> and expertise </w:t>
      </w:r>
      <w:r w:rsidR="00CB1E74">
        <w:t xml:space="preserve">of </w:t>
      </w:r>
      <w:r>
        <w:t>OSF colleagues</w:t>
      </w:r>
      <w:r w:rsidRPr="00E265EE">
        <w:t xml:space="preserve">. Suggestions for revision can be sent to </w:t>
      </w:r>
      <w:r w:rsidR="00175D1B">
        <w:t>Gina Dash Barrow</w:t>
      </w:r>
      <w:r w:rsidRPr="00E265EE">
        <w:t xml:space="preserve">, </w:t>
      </w:r>
      <w:r w:rsidR="00175D1B">
        <w:t xml:space="preserve">Associate </w:t>
      </w:r>
      <w:r w:rsidRPr="00E265EE">
        <w:t>Budget Director for OSF</w:t>
      </w:r>
      <w:r>
        <w:t xml:space="preserve">, and Dan Sershen, </w:t>
      </w:r>
      <w:r w:rsidR="00465EDF">
        <w:t xml:space="preserve">Associate Director of Strategy </w:t>
      </w:r>
      <w:r>
        <w:t>for OSF</w:t>
      </w:r>
      <w:r w:rsidRPr="00E265EE">
        <w:t xml:space="preserve">. </w:t>
      </w:r>
      <w:r w:rsidR="00CB1E74">
        <w:br w:type="page"/>
      </w:r>
    </w:p>
    <w:p w:rsidR="00AE6597" w:rsidRDefault="00AE6597" w:rsidP="00E075BE">
      <w:r>
        <w:lastRenderedPageBreak/>
        <w:t>Appendix A</w:t>
      </w:r>
    </w:p>
    <w:tbl>
      <w:tblPr>
        <w:tblW w:w="959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448"/>
        <w:gridCol w:w="1525"/>
        <w:gridCol w:w="2049"/>
        <w:gridCol w:w="3574"/>
      </w:tblGrid>
      <w:tr w:rsidR="003830A8" w:rsidTr="003830A8">
        <w:trPr>
          <w:trHeight w:val="350"/>
        </w:trPr>
        <w:tc>
          <w:tcPr>
            <w:tcW w:w="2448" w:type="dxa"/>
            <w:shd w:val="clear" w:color="auto" w:fill="auto"/>
            <w:tcMar>
              <w:top w:w="0" w:type="dxa"/>
              <w:left w:w="108" w:type="dxa"/>
              <w:bottom w:w="0" w:type="dxa"/>
              <w:right w:w="108" w:type="dxa"/>
            </w:tcMar>
            <w:hideMark/>
          </w:tcPr>
          <w:p w:rsidR="003830A8" w:rsidRPr="003830A8" w:rsidRDefault="003830A8" w:rsidP="00265071">
            <w:pPr>
              <w:spacing w:after="0"/>
              <w:rPr>
                <w:rFonts w:ascii="Calibri" w:hAnsi="Calibri"/>
                <w:b/>
                <w:bCs/>
                <w:color w:val="262626"/>
              </w:rPr>
            </w:pPr>
            <w:r w:rsidRPr="003830A8">
              <w:rPr>
                <w:b/>
                <w:bCs/>
                <w:color w:val="262626"/>
              </w:rPr>
              <w:t>Shared Framework Title</w:t>
            </w:r>
          </w:p>
        </w:tc>
        <w:tc>
          <w:tcPr>
            <w:tcW w:w="7148" w:type="dxa"/>
            <w:gridSpan w:val="3"/>
            <w:shd w:val="clear" w:color="auto" w:fill="auto"/>
            <w:tcMar>
              <w:top w:w="0" w:type="dxa"/>
              <w:left w:w="108" w:type="dxa"/>
              <w:bottom w:w="0" w:type="dxa"/>
              <w:right w:w="108" w:type="dxa"/>
            </w:tcMar>
          </w:tcPr>
          <w:p w:rsidR="003830A8" w:rsidRPr="003830A8" w:rsidRDefault="003830A8" w:rsidP="00265071">
            <w:pPr>
              <w:spacing w:after="0"/>
              <w:rPr>
                <w:rFonts w:ascii="Calibri" w:hAnsi="Calibri"/>
                <w:color w:val="262626"/>
                <w:sz w:val="20"/>
                <w:szCs w:val="20"/>
              </w:rPr>
            </w:pPr>
          </w:p>
        </w:tc>
      </w:tr>
      <w:tr w:rsidR="003830A8" w:rsidTr="003830A8">
        <w:trPr>
          <w:trHeight w:val="20"/>
        </w:trPr>
        <w:tc>
          <w:tcPr>
            <w:tcW w:w="2448" w:type="dxa"/>
            <w:shd w:val="clear" w:color="auto" w:fill="auto"/>
            <w:tcMar>
              <w:top w:w="0" w:type="dxa"/>
              <w:left w:w="108" w:type="dxa"/>
              <w:bottom w:w="0" w:type="dxa"/>
              <w:right w:w="108" w:type="dxa"/>
            </w:tcMar>
          </w:tcPr>
          <w:p w:rsidR="003830A8" w:rsidRPr="003830A8" w:rsidRDefault="003830A8" w:rsidP="00265071">
            <w:pPr>
              <w:spacing w:after="0"/>
              <w:rPr>
                <w:b/>
                <w:bCs/>
                <w:color w:val="262626"/>
              </w:rPr>
            </w:pPr>
            <w:r w:rsidRPr="003830A8">
              <w:rPr>
                <w:b/>
                <w:bCs/>
                <w:color w:val="262626"/>
              </w:rPr>
              <w:t>Amount Requested</w:t>
            </w:r>
          </w:p>
        </w:tc>
        <w:tc>
          <w:tcPr>
            <w:tcW w:w="7148" w:type="dxa"/>
            <w:gridSpan w:val="3"/>
            <w:shd w:val="clear" w:color="auto" w:fill="auto"/>
            <w:tcMar>
              <w:top w:w="0" w:type="dxa"/>
              <w:left w:w="108" w:type="dxa"/>
              <w:bottom w:w="0" w:type="dxa"/>
              <w:right w:w="108" w:type="dxa"/>
            </w:tcMar>
          </w:tcPr>
          <w:p w:rsidR="003830A8" w:rsidRPr="003830A8" w:rsidRDefault="003830A8" w:rsidP="00265071">
            <w:pPr>
              <w:spacing w:after="0"/>
              <w:rPr>
                <w:rFonts w:ascii="Calibri" w:hAnsi="Calibri"/>
                <w:color w:val="262626"/>
                <w:sz w:val="20"/>
                <w:szCs w:val="20"/>
              </w:rPr>
            </w:pPr>
          </w:p>
        </w:tc>
      </w:tr>
      <w:tr w:rsidR="003830A8" w:rsidTr="003830A8">
        <w:trPr>
          <w:trHeight w:val="20"/>
        </w:trPr>
        <w:tc>
          <w:tcPr>
            <w:tcW w:w="2448" w:type="dxa"/>
            <w:shd w:val="clear" w:color="auto" w:fill="auto"/>
            <w:tcMar>
              <w:top w:w="0" w:type="dxa"/>
              <w:left w:w="108" w:type="dxa"/>
              <w:bottom w:w="0" w:type="dxa"/>
              <w:right w:w="108" w:type="dxa"/>
            </w:tcMar>
          </w:tcPr>
          <w:p w:rsidR="003830A8" w:rsidRPr="003830A8" w:rsidRDefault="003830A8" w:rsidP="00265071">
            <w:pPr>
              <w:spacing w:after="0"/>
              <w:rPr>
                <w:b/>
                <w:bCs/>
                <w:color w:val="262626"/>
              </w:rPr>
            </w:pPr>
            <w:r w:rsidRPr="003830A8">
              <w:rPr>
                <w:b/>
                <w:bCs/>
                <w:color w:val="262626"/>
              </w:rPr>
              <w:t>Detail on Amount Requested (Optional)</w:t>
            </w:r>
          </w:p>
        </w:tc>
        <w:tc>
          <w:tcPr>
            <w:tcW w:w="7148" w:type="dxa"/>
            <w:gridSpan w:val="3"/>
            <w:shd w:val="clear" w:color="auto" w:fill="auto"/>
            <w:tcMar>
              <w:top w:w="0" w:type="dxa"/>
              <w:left w:w="108" w:type="dxa"/>
              <w:bottom w:w="0" w:type="dxa"/>
              <w:right w:w="108" w:type="dxa"/>
            </w:tcMar>
          </w:tcPr>
          <w:p w:rsidR="003830A8" w:rsidRPr="003830A8" w:rsidRDefault="003830A8" w:rsidP="00265071">
            <w:pPr>
              <w:spacing w:after="0"/>
              <w:rPr>
                <w:rFonts w:ascii="Calibri" w:hAnsi="Calibri"/>
                <w:color w:val="262626"/>
                <w:sz w:val="20"/>
                <w:szCs w:val="20"/>
              </w:rPr>
            </w:pPr>
          </w:p>
        </w:tc>
      </w:tr>
      <w:tr w:rsidR="003830A8" w:rsidTr="003830A8">
        <w:trPr>
          <w:trHeight w:val="20"/>
        </w:trPr>
        <w:tc>
          <w:tcPr>
            <w:tcW w:w="2448" w:type="dxa"/>
            <w:shd w:val="clear" w:color="auto" w:fill="auto"/>
            <w:tcMar>
              <w:top w:w="0" w:type="dxa"/>
              <w:left w:w="108" w:type="dxa"/>
              <w:bottom w:w="0" w:type="dxa"/>
              <w:right w:w="108" w:type="dxa"/>
            </w:tcMar>
          </w:tcPr>
          <w:p w:rsidR="003830A8" w:rsidRPr="003830A8" w:rsidRDefault="003830A8" w:rsidP="00265071">
            <w:pPr>
              <w:spacing w:after="0"/>
              <w:rPr>
                <w:b/>
                <w:bCs/>
                <w:color w:val="262626"/>
              </w:rPr>
            </w:pPr>
            <w:r w:rsidRPr="003830A8">
              <w:rPr>
                <w:b/>
                <w:bCs/>
                <w:color w:val="262626"/>
              </w:rPr>
              <w:t>Background (Optional)</w:t>
            </w:r>
          </w:p>
        </w:tc>
        <w:tc>
          <w:tcPr>
            <w:tcW w:w="7148" w:type="dxa"/>
            <w:gridSpan w:val="3"/>
            <w:shd w:val="clear" w:color="auto" w:fill="auto"/>
            <w:tcMar>
              <w:top w:w="0" w:type="dxa"/>
              <w:left w:w="108" w:type="dxa"/>
              <w:bottom w:w="0" w:type="dxa"/>
              <w:right w:w="108" w:type="dxa"/>
            </w:tcMar>
          </w:tcPr>
          <w:p w:rsidR="003830A8" w:rsidRPr="003830A8" w:rsidRDefault="003830A8" w:rsidP="00265071">
            <w:pPr>
              <w:spacing w:after="0"/>
              <w:rPr>
                <w:rFonts w:ascii="Calibri" w:hAnsi="Calibri"/>
                <w:color w:val="262626"/>
                <w:sz w:val="20"/>
                <w:szCs w:val="20"/>
                <w:lang w:val="pt-BR"/>
              </w:rPr>
            </w:pPr>
          </w:p>
        </w:tc>
      </w:tr>
      <w:tr w:rsidR="003830A8" w:rsidTr="003830A8">
        <w:trPr>
          <w:trHeight w:val="20"/>
        </w:trPr>
        <w:tc>
          <w:tcPr>
            <w:tcW w:w="2448" w:type="dxa"/>
            <w:shd w:val="clear" w:color="auto" w:fill="auto"/>
            <w:tcMar>
              <w:top w:w="0" w:type="dxa"/>
              <w:left w:w="108" w:type="dxa"/>
              <w:bottom w:w="0" w:type="dxa"/>
              <w:right w:w="108" w:type="dxa"/>
            </w:tcMar>
          </w:tcPr>
          <w:p w:rsidR="003830A8" w:rsidRPr="003830A8" w:rsidRDefault="003830A8" w:rsidP="003830A8">
            <w:pPr>
              <w:spacing w:after="0"/>
              <w:rPr>
                <w:b/>
                <w:bCs/>
                <w:color w:val="262626"/>
              </w:rPr>
            </w:pPr>
            <w:r w:rsidRPr="003830A8">
              <w:rPr>
                <w:b/>
                <w:bCs/>
                <w:color w:val="262626"/>
              </w:rPr>
              <w:t>Summary of Plans and Relation to Overall Shared Framework Goals (100 words)</w:t>
            </w:r>
          </w:p>
        </w:tc>
        <w:tc>
          <w:tcPr>
            <w:tcW w:w="7148" w:type="dxa"/>
            <w:gridSpan w:val="3"/>
            <w:shd w:val="clear" w:color="auto" w:fill="auto"/>
            <w:tcMar>
              <w:top w:w="0" w:type="dxa"/>
              <w:left w:w="108" w:type="dxa"/>
              <w:bottom w:w="0" w:type="dxa"/>
              <w:right w:w="108" w:type="dxa"/>
            </w:tcMar>
          </w:tcPr>
          <w:p w:rsidR="003830A8" w:rsidRPr="003830A8" w:rsidRDefault="003830A8" w:rsidP="00265071">
            <w:pPr>
              <w:spacing w:after="0"/>
              <w:rPr>
                <w:rFonts w:ascii="Calibri" w:hAnsi="Calibri"/>
                <w:color w:val="262626"/>
                <w:sz w:val="20"/>
                <w:szCs w:val="20"/>
                <w:lang w:val="pt-BR"/>
              </w:rPr>
            </w:pPr>
          </w:p>
        </w:tc>
      </w:tr>
      <w:tr w:rsidR="003830A8" w:rsidTr="003830A8">
        <w:trPr>
          <w:trHeight w:val="20"/>
        </w:trPr>
        <w:tc>
          <w:tcPr>
            <w:tcW w:w="2448" w:type="dxa"/>
            <w:shd w:val="clear" w:color="auto" w:fill="auto"/>
            <w:tcMar>
              <w:top w:w="0" w:type="dxa"/>
              <w:left w:w="108" w:type="dxa"/>
              <w:bottom w:w="0" w:type="dxa"/>
              <w:right w:w="108" w:type="dxa"/>
            </w:tcMar>
          </w:tcPr>
          <w:p w:rsidR="003830A8" w:rsidRPr="003830A8" w:rsidRDefault="003830A8" w:rsidP="00265071">
            <w:pPr>
              <w:spacing w:after="0"/>
              <w:rPr>
                <w:b/>
                <w:bCs/>
                <w:color w:val="262626"/>
              </w:rPr>
            </w:pPr>
            <w:r w:rsidRPr="003830A8">
              <w:rPr>
                <w:b/>
                <w:bCs/>
                <w:color w:val="262626"/>
              </w:rPr>
              <w:t>Activities Proposed (500 words)</w:t>
            </w:r>
          </w:p>
        </w:tc>
        <w:tc>
          <w:tcPr>
            <w:tcW w:w="7148" w:type="dxa"/>
            <w:gridSpan w:val="3"/>
            <w:shd w:val="clear" w:color="auto" w:fill="auto"/>
            <w:tcMar>
              <w:top w:w="0" w:type="dxa"/>
              <w:left w:w="108" w:type="dxa"/>
              <w:bottom w:w="0" w:type="dxa"/>
              <w:right w:w="108" w:type="dxa"/>
            </w:tcMar>
          </w:tcPr>
          <w:p w:rsidR="003830A8" w:rsidRPr="003830A8" w:rsidRDefault="003830A8" w:rsidP="00265071">
            <w:pPr>
              <w:spacing w:after="0"/>
              <w:rPr>
                <w:rFonts w:ascii="Calibri" w:hAnsi="Calibri"/>
                <w:color w:val="262626"/>
                <w:sz w:val="20"/>
                <w:szCs w:val="20"/>
                <w:lang w:val="pt-BR"/>
              </w:rPr>
            </w:pPr>
          </w:p>
        </w:tc>
      </w:tr>
      <w:tr w:rsidR="003830A8" w:rsidTr="003830A8">
        <w:trPr>
          <w:trHeight w:val="20"/>
        </w:trPr>
        <w:tc>
          <w:tcPr>
            <w:tcW w:w="2448" w:type="dxa"/>
            <w:tcBorders>
              <w:bottom w:val="single" w:sz="8" w:space="0" w:color="auto"/>
            </w:tcBorders>
            <w:shd w:val="clear" w:color="auto" w:fill="auto"/>
            <w:tcMar>
              <w:top w:w="0" w:type="dxa"/>
              <w:left w:w="108" w:type="dxa"/>
              <w:bottom w:w="0" w:type="dxa"/>
              <w:right w:w="108" w:type="dxa"/>
            </w:tcMar>
          </w:tcPr>
          <w:p w:rsidR="003830A8" w:rsidRPr="003830A8" w:rsidRDefault="003830A8" w:rsidP="00265071">
            <w:pPr>
              <w:spacing w:after="0"/>
              <w:rPr>
                <w:b/>
                <w:bCs/>
                <w:color w:val="262626"/>
              </w:rPr>
            </w:pPr>
            <w:r w:rsidRPr="003830A8">
              <w:rPr>
                <w:b/>
                <w:bCs/>
                <w:color w:val="262626"/>
              </w:rPr>
              <w:t>Summary for Board Reports (100 words)</w:t>
            </w:r>
          </w:p>
        </w:tc>
        <w:tc>
          <w:tcPr>
            <w:tcW w:w="7148" w:type="dxa"/>
            <w:gridSpan w:val="3"/>
            <w:tcBorders>
              <w:bottom w:val="single" w:sz="8" w:space="0" w:color="auto"/>
            </w:tcBorders>
            <w:shd w:val="clear" w:color="auto" w:fill="auto"/>
            <w:tcMar>
              <w:top w:w="0" w:type="dxa"/>
              <w:left w:w="108" w:type="dxa"/>
              <w:bottom w:w="0" w:type="dxa"/>
              <w:right w:w="108" w:type="dxa"/>
            </w:tcMar>
          </w:tcPr>
          <w:p w:rsidR="003830A8" w:rsidRPr="003830A8" w:rsidRDefault="003830A8" w:rsidP="00265071">
            <w:pPr>
              <w:spacing w:after="0"/>
              <w:rPr>
                <w:rFonts w:ascii="Calibri" w:hAnsi="Calibri"/>
                <w:sz w:val="20"/>
                <w:szCs w:val="20"/>
              </w:rPr>
            </w:pPr>
          </w:p>
        </w:tc>
      </w:tr>
      <w:tr w:rsidR="003830A8" w:rsidTr="003830A8">
        <w:trPr>
          <w:trHeight w:val="20"/>
        </w:trPr>
        <w:tc>
          <w:tcPr>
            <w:tcW w:w="2448" w:type="dxa"/>
            <w:tcBorders>
              <w:bottom w:val="single" w:sz="8" w:space="0" w:color="auto"/>
            </w:tcBorders>
            <w:shd w:val="clear" w:color="auto" w:fill="auto"/>
            <w:tcMar>
              <w:top w:w="0" w:type="dxa"/>
              <w:left w:w="108" w:type="dxa"/>
              <w:bottom w:w="0" w:type="dxa"/>
              <w:right w:w="108" w:type="dxa"/>
            </w:tcMar>
          </w:tcPr>
          <w:p w:rsidR="003830A8" w:rsidRPr="003830A8" w:rsidRDefault="003830A8" w:rsidP="00265071">
            <w:pPr>
              <w:spacing w:after="0"/>
              <w:rPr>
                <w:b/>
                <w:bCs/>
                <w:color w:val="262626"/>
              </w:rPr>
            </w:pPr>
            <w:r w:rsidRPr="003830A8">
              <w:rPr>
                <w:b/>
                <w:bCs/>
                <w:color w:val="262626"/>
              </w:rPr>
              <w:t>Collaborating Programs within OSF and essential partners or grantees</w:t>
            </w:r>
          </w:p>
        </w:tc>
        <w:tc>
          <w:tcPr>
            <w:tcW w:w="7148" w:type="dxa"/>
            <w:gridSpan w:val="3"/>
            <w:tcBorders>
              <w:bottom w:val="single" w:sz="8" w:space="0" w:color="auto"/>
            </w:tcBorders>
            <w:shd w:val="clear" w:color="auto" w:fill="auto"/>
            <w:tcMar>
              <w:top w:w="0" w:type="dxa"/>
              <w:left w:w="108" w:type="dxa"/>
              <w:bottom w:w="0" w:type="dxa"/>
              <w:right w:w="108" w:type="dxa"/>
            </w:tcMar>
          </w:tcPr>
          <w:p w:rsidR="003830A8" w:rsidRPr="003830A8" w:rsidRDefault="003830A8" w:rsidP="00265071">
            <w:pPr>
              <w:spacing w:after="0"/>
              <w:rPr>
                <w:rFonts w:ascii="Calibri" w:hAnsi="Calibri"/>
                <w:sz w:val="20"/>
                <w:szCs w:val="20"/>
              </w:rPr>
            </w:pPr>
          </w:p>
        </w:tc>
      </w:tr>
      <w:tr w:rsidR="003830A8" w:rsidTr="003830A8">
        <w:trPr>
          <w:trHeight w:val="20"/>
        </w:trPr>
        <w:tc>
          <w:tcPr>
            <w:tcW w:w="2448" w:type="dxa"/>
            <w:tcBorders>
              <w:bottom w:val="single" w:sz="8" w:space="0" w:color="auto"/>
            </w:tcBorders>
            <w:shd w:val="clear" w:color="auto" w:fill="auto"/>
            <w:tcMar>
              <w:top w:w="0" w:type="dxa"/>
              <w:left w:w="108" w:type="dxa"/>
              <w:bottom w:w="0" w:type="dxa"/>
              <w:right w:w="108" w:type="dxa"/>
            </w:tcMar>
          </w:tcPr>
          <w:p w:rsidR="003830A8" w:rsidRPr="003830A8" w:rsidRDefault="003830A8" w:rsidP="00265071">
            <w:pPr>
              <w:spacing w:after="0"/>
              <w:rPr>
                <w:b/>
                <w:bCs/>
                <w:color w:val="262626"/>
              </w:rPr>
            </w:pPr>
            <w:r w:rsidRPr="003830A8">
              <w:rPr>
                <w:b/>
                <w:bCs/>
                <w:color w:val="262626"/>
              </w:rPr>
              <w:t>Contributions expected from Collaborating Programs (250 words)</w:t>
            </w:r>
          </w:p>
        </w:tc>
        <w:tc>
          <w:tcPr>
            <w:tcW w:w="7148" w:type="dxa"/>
            <w:gridSpan w:val="3"/>
            <w:tcBorders>
              <w:bottom w:val="single" w:sz="8" w:space="0" w:color="auto"/>
            </w:tcBorders>
            <w:shd w:val="clear" w:color="auto" w:fill="auto"/>
            <w:tcMar>
              <w:top w:w="0" w:type="dxa"/>
              <w:left w:w="108" w:type="dxa"/>
              <w:bottom w:w="0" w:type="dxa"/>
              <w:right w:w="108" w:type="dxa"/>
            </w:tcMar>
          </w:tcPr>
          <w:p w:rsidR="003830A8" w:rsidRPr="003830A8" w:rsidRDefault="003830A8" w:rsidP="00265071">
            <w:pPr>
              <w:spacing w:after="0"/>
              <w:rPr>
                <w:rFonts w:ascii="Calibri" w:hAnsi="Calibri"/>
                <w:sz w:val="20"/>
                <w:szCs w:val="20"/>
              </w:rPr>
            </w:pPr>
          </w:p>
        </w:tc>
      </w:tr>
      <w:tr w:rsidR="003830A8" w:rsidTr="003830A8">
        <w:trPr>
          <w:trHeight w:val="20"/>
        </w:trPr>
        <w:tc>
          <w:tcPr>
            <w:tcW w:w="2448" w:type="dxa"/>
            <w:tcBorders>
              <w:bottom w:val="single" w:sz="8" w:space="0" w:color="auto"/>
            </w:tcBorders>
            <w:shd w:val="clear" w:color="auto" w:fill="auto"/>
            <w:tcMar>
              <w:top w:w="0" w:type="dxa"/>
              <w:left w:w="108" w:type="dxa"/>
              <w:bottom w:w="0" w:type="dxa"/>
              <w:right w:w="108" w:type="dxa"/>
            </w:tcMar>
          </w:tcPr>
          <w:p w:rsidR="003830A8" w:rsidRPr="003830A8" w:rsidRDefault="003830A8" w:rsidP="00265071">
            <w:pPr>
              <w:spacing w:after="0"/>
              <w:rPr>
                <w:b/>
                <w:bCs/>
                <w:color w:val="262626"/>
              </w:rPr>
            </w:pPr>
            <w:r w:rsidRPr="003830A8">
              <w:rPr>
                <w:b/>
                <w:bCs/>
                <w:color w:val="262626"/>
              </w:rPr>
              <w:t>Statement of who within OSF would guide the work</w:t>
            </w:r>
          </w:p>
        </w:tc>
        <w:tc>
          <w:tcPr>
            <w:tcW w:w="7148" w:type="dxa"/>
            <w:gridSpan w:val="3"/>
            <w:tcBorders>
              <w:bottom w:val="single" w:sz="8" w:space="0" w:color="auto"/>
            </w:tcBorders>
            <w:shd w:val="clear" w:color="auto" w:fill="auto"/>
            <w:tcMar>
              <w:top w:w="0" w:type="dxa"/>
              <w:left w:w="108" w:type="dxa"/>
              <w:bottom w:w="0" w:type="dxa"/>
              <w:right w:w="108" w:type="dxa"/>
            </w:tcMar>
          </w:tcPr>
          <w:p w:rsidR="003830A8" w:rsidRPr="003830A8" w:rsidRDefault="003830A8" w:rsidP="00265071">
            <w:pPr>
              <w:spacing w:after="0"/>
              <w:rPr>
                <w:rFonts w:ascii="Calibri" w:hAnsi="Calibri"/>
                <w:sz w:val="20"/>
                <w:szCs w:val="20"/>
              </w:rPr>
            </w:pPr>
          </w:p>
        </w:tc>
      </w:tr>
      <w:tr w:rsidR="003830A8" w:rsidTr="003830A8">
        <w:trPr>
          <w:trHeight w:val="169"/>
        </w:trPr>
        <w:tc>
          <w:tcPr>
            <w:tcW w:w="2448" w:type="dxa"/>
            <w:tcBorders>
              <w:left w:val="nil"/>
              <w:right w:val="nil"/>
            </w:tcBorders>
            <w:shd w:val="clear" w:color="auto" w:fill="auto"/>
            <w:tcMar>
              <w:top w:w="0" w:type="dxa"/>
              <w:left w:w="108" w:type="dxa"/>
              <w:bottom w:w="0" w:type="dxa"/>
              <w:right w:w="108" w:type="dxa"/>
            </w:tcMar>
          </w:tcPr>
          <w:p w:rsidR="003830A8" w:rsidRPr="003830A8" w:rsidRDefault="003830A8" w:rsidP="00265071">
            <w:pPr>
              <w:spacing w:after="0"/>
              <w:rPr>
                <w:b/>
                <w:bCs/>
                <w:color w:val="262626"/>
              </w:rPr>
            </w:pPr>
          </w:p>
        </w:tc>
        <w:tc>
          <w:tcPr>
            <w:tcW w:w="7148" w:type="dxa"/>
            <w:gridSpan w:val="3"/>
            <w:tcBorders>
              <w:left w:val="nil"/>
              <w:right w:val="nil"/>
            </w:tcBorders>
            <w:shd w:val="clear" w:color="auto" w:fill="auto"/>
            <w:tcMar>
              <w:top w:w="0" w:type="dxa"/>
              <w:left w:w="108" w:type="dxa"/>
              <w:bottom w:w="0" w:type="dxa"/>
              <w:right w:w="108" w:type="dxa"/>
            </w:tcMar>
          </w:tcPr>
          <w:p w:rsidR="003830A8" w:rsidRPr="003830A8" w:rsidRDefault="003830A8" w:rsidP="00265071">
            <w:pPr>
              <w:spacing w:after="0"/>
              <w:rPr>
                <w:rFonts w:ascii="Calibri" w:hAnsi="Calibri"/>
                <w:sz w:val="20"/>
                <w:szCs w:val="20"/>
              </w:rPr>
            </w:pPr>
          </w:p>
        </w:tc>
      </w:tr>
      <w:tr w:rsidR="003830A8" w:rsidRPr="00AD6D6B" w:rsidTr="003830A8">
        <w:trPr>
          <w:trHeight w:val="229"/>
        </w:trPr>
        <w:tc>
          <w:tcPr>
            <w:tcW w:w="2448" w:type="dxa"/>
            <w:vMerge w:val="restart"/>
            <w:shd w:val="clear" w:color="auto" w:fill="auto"/>
            <w:tcMar>
              <w:top w:w="0" w:type="dxa"/>
              <w:left w:w="108" w:type="dxa"/>
              <w:bottom w:w="0" w:type="dxa"/>
              <w:right w:w="108" w:type="dxa"/>
            </w:tcMar>
            <w:hideMark/>
          </w:tcPr>
          <w:p w:rsidR="003830A8" w:rsidRPr="003830A8" w:rsidRDefault="003830A8" w:rsidP="00265071">
            <w:pPr>
              <w:spacing w:after="0"/>
              <w:rPr>
                <w:b/>
                <w:bCs/>
                <w:color w:val="262626"/>
              </w:rPr>
            </w:pPr>
            <w:r w:rsidRPr="003830A8">
              <w:rPr>
                <w:b/>
                <w:bCs/>
                <w:color w:val="262626"/>
              </w:rPr>
              <w:t>Approver (Lead)</w:t>
            </w:r>
          </w:p>
          <w:p w:rsidR="003830A8" w:rsidRPr="003830A8" w:rsidRDefault="003830A8" w:rsidP="00265071">
            <w:pPr>
              <w:spacing w:after="0"/>
              <w:rPr>
                <w:bCs/>
                <w:i/>
                <w:color w:val="262626"/>
                <w:sz w:val="16"/>
                <w:szCs w:val="16"/>
              </w:rPr>
            </w:pPr>
            <w:r w:rsidRPr="003830A8">
              <w:rPr>
                <w:bCs/>
                <w:i/>
                <w:color w:val="262626"/>
                <w:sz w:val="16"/>
                <w:szCs w:val="16"/>
              </w:rPr>
              <w:t xml:space="preserve">(See list on </w:t>
            </w:r>
            <w:hyperlink r:id="rId13" w:history="1">
              <w:r w:rsidRPr="003830A8">
                <w:rPr>
                  <w:rStyle w:val="Hyperlink"/>
                  <w:bCs/>
                  <w:i/>
                  <w:sz w:val="16"/>
                  <w:szCs w:val="16"/>
                </w:rPr>
                <w:t>Reserve Funds KARL</w:t>
              </w:r>
            </w:hyperlink>
            <w:r w:rsidRPr="003830A8">
              <w:rPr>
                <w:bCs/>
                <w:i/>
                <w:color w:val="262626"/>
                <w:sz w:val="16"/>
                <w:szCs w:val="16"/>
              </w:rPr>
              <w:t>)</w:t>
            </w:r>
          </w:p>
        </w:tc>
        <w:tc>
          <w:tcPr>
            <w:tcW w:w="1525" w:type="dxa"/>
            <w:shd w:val="clear" w:color="auto" w:fill="auto"/>
            <w:tcMar>
              <w:top w:w="0" w:type="dxa"/>
              <w:left w:w="108" w:type="dxa"/>
              <w:bottom w:w="0" w:type="dxa"/>
              <w:right w:w="108" w:type="dxa"/>
            </w:tcMar>
          </w:tcPr>
          <w:p w:rsidR="003830A8" w:rsidRPr="003830A8" w:rsidRDefault="003830A8" w:rsidP="00265071">
            <w:pPr>
              <w:spacing w:after="0"/>
              <w:rPr>
                <w:rFonts w:ascii="Calibri" w:hAnsi="Calibri"/>
                <w:color w:val="262626"/>
                <w:sz w:val="20"/>
                <w:szCs w:val="20"/>
              </w:rPr>
            </w:pPr>
            <w:r w:rsidRPr="003830A8">
              <w:rPr>
                <w:rFonts w:ascii="Calibri" w:hAnsi="Calibri"/>
                <w:color w:val="262626"/>
                <w:sz w:val="20"/>
                <w:szCs w:val="20"/>
              </w:rPr>
              <w:t>Name</w:t>
            </w:r>
          </w:p>
        </w:tc>
        <w:tc>
          <w:tcPr>
            <w:tcW w:w="5623" w:type="dxa"/>
            <w:gridSpan w:val="2"/>
            <w:shd w:val="clear" w:color="auto" w:fill="auto"/>
          </w:tcPr>
          <w:p w:rsidR="003830A8" w:rsidRPr="003830A8" w:rsidRDefault="003830A8" w:rsidP="00265071">
            <w:pPr>
              <w:spacing w:after="0"/>
              <w:rPr>
                <w:rFonts w:ascii="Calibri" w:hAnsi="Calibri"/>
                <w:color w:val="262626"/>
                <w:sz w:val="20"/>
                <w:szCs w:val="20"/>
              </w:rPr>
            </w:pPr>
          </w:p>
        </w:tc>
      </w:tr>
      <w:tr w:rsidR="003830A8" w:rsidRPr="00AD6D6B" w:rsidTr="003830A8">
        <w:trPr>
          <w:trHeight w:val="273"/>
        </w:trPr>
        <w:tc>
          <w:tcPr>
            <w:tcW w:w="2448" w:type="dxa"/>
            <w:vMerge/>
            <w:shd w:val="clear" w:color="auto" w:fill="auto"/>
            <w:tcMar>
              <w:top w:w="0" w:type="dxa"/>
              <w:left w:w="108" w:type="dxa"/>
              <w:bottom w:w="0" w:type="dxa"/>
              <w:right w:w="108" w:type="dxa"/>
            </w:tcMar>
          </w:tcPr>
          <w:p w:rsidR="003830A8" w:rsidRPr="003830A8" w:rsidRDefault="003830A8" w:rsidP="00265071">
            <w:pPr>
              <w:spacing w:after="0"/>
              <w:rPr>
                <w:b/>
                <w:bCs/>
                <w:color w:val="262626"/>
              </w:rPr>
            </w:pPr>
          </w:p>
        </w:tc>
        <w:tc>
          <w:tcPr>
            <w:tcW w:w="1525" w:type="dxa"/>
            <w:shd w:val="clear" w:color="auto" w:fill="auto"/>
            <w:tcMar>
              <w:top w:w="0" w:type="dxa"/>
              <w:left w:w="108" w:type="dxa"/>
              <w:bottom w:w="0" w:type="dxa"/>
              <w:right w:w="108" w:type="dxa"/>
            </w:tcMar>
          </w:tcPr>
          <w:p w:rsidR="003830A8" w:rsidRPr="003830A8" w:rsidRDefault="003830A8" w:rsidP="00265071">
            <w:pPr>
              <w:spacing w:after="0"/>
              <w:rPr>
                <w:rFonts w:ascii="Calibri" w:hAnsi="Calibri"/>
                <w:color w:val="262626"/>
                <w:sz w:val="20"/>
                <w:szCs w:val="20"/>
              </w:rPr>
            </w:pPr>
            <w:r w:rsidRPr="003830A8">
              <w:rPr>
                <w:rFonts w:ascii="Calibri" w:hAnsi="Calibri"/>
                <w:color w:val="262626"/>
                <w:sz w:val="20"/>
                <w:szCs w:val="20"/>
              </w:rPr>
              <w:t>Date Approved</w:t>
            </w:r>
          </w:p>
        </w:tc>
        <w:tc>
          <w:tcPr>
            <w:tcW w:w="5623" w:type="dxa"/>
            <w:gridSpan w:val="2"/>
            <w:shd w:val="clear" w:color="auto" w:fill="auto"/>
          </w:tcPr>
          <w:p w:rsidR="003830A8" w:rsidRPr="003830A8" w:rsidRDefault="003830A8" w:rsidP="00265071">
            <w:pPr>
              <w:spacing w:after="0"/>
              <w:rPr>
                <w:rFonts w:ascii="Calibri" w:hAnsi="Calibri"/>
                <w:color w:val="262626"/>
                <w:sz w:val="20"/>
                <w:szCs w:val="20"/>
              </w:rPr>
            </w:pPr>
          </w:p>
        </w:tc>
      </w:tr>
      <w:tr w:rsidR="003830A8" w:rsidRPr="00AD6D6B" w:rsidTr="00265071">
        <w:tblPrEx>
          <w:shd w:val="clear" w:color="auto" w:fill="CCFFCC"/>
        </w:tblPrEx>
        <w:trPr>
          <w:trHeight w:val="1241"/>
        </w:trPr>
        <w:tc>
          <w:tcPr>
            <w:tcW w:w="2448" w:type="dxa"/>
            <w:shd w:val="clear" w:color="auto" w:fill="CCFFCC"/>
            <w:tcMar>
              <w:top w:w="0" w:type="dxa"/>
              <w:left w:w="108" w:type="dxa"/>
              <w:bottom w:w="0" w:type="dxa"/>
              <w:right w:w="108" w:type="dxa"/>
            </w:tcMar>
            <w:hideMark/>
          </w:tcPr>
          <w:p w:rsidR="003830A8" w:rsidRDefault="003830A8" w:rsidP="00265071">
            <w:pPr>
              <w:spacing w:after="0"/>
              <w:rPr>
                <w:b/>
                <w:bCs/>
                <w:color w:val="262626"/>
              </w:rPr>
            </w:pPr>
            <w:r>
              <w:rPr>
                <w:b/>
                <w:bCs/>
                <w:color w:val="262626"/>
              </w:rPr>
              <w:t>Approver (Lead) Notes / Comments (Optional)</w:t>
            </w:r>
          </w:p>
          <w:p w:rsidR="003830A8" w:rsidRDefault="003830A8" w:rsidP="003830A8">
            <w:pPr>
              <w:spacing w:after="0"/>
              <w:rPr>
                <w:rFonts w:ascii="Calibri" w:hAnsi="Calibri"/>
                <w:b/>
                <w:bCs/>
                <w:color w:val="262626"/>
              </w:rPr>
            </w:pPr>
            <w:r w:rsidRPr="00177042">
              <w:rPr>
                <w:bCs/>
                <w:i/>
                <w:color w:val="262626"/>
                <w:sz w:val="16"/>
                <w:szCs w:val="16"/>
              </w:rPr>
              <w:t>(</w:t>
            </w:r>
            <w:r>
              <w:rPr>
                <w:bCs/>
                <w:i/>
                <w:color w:val="262626"/>
                <w:sz w:val="16"/>
                <w:szCs w:val="16"/>
              </w:rPr>
              <w:t xml:space="preserve">To be completed by </w:t>
            </w:r>
            <w:r w:rsidRPr="00B569C2">
              <w:rPr>
                <w:bCs/>
                <w:i/>
                <w:color w:val="262626"/>
                <w:sz w:val="16"/>
                <w:szCs w:val="16"/>
                <w:u w:val="single"/>
              </w:rPr>
              <w:t>a</w:t>
            </w:r>
            <w:r>
              <w:rPr>
                <w:bCs/>
                <w:i/>
                <w:color w:val="262626"/>
                <w:sz w:val="16"/>
                <w:szCs w:val="16"/>
                <w:u w:val="single"/>
              </w:rPr>
              <w:t xml:space="preserve">pprover </w:t>
            </w:r>
            <w:r w:rsidRPr="00B569C2">
              <w:rPr>
                <w:bCs/>
                <w:i/>
                <w:color w:val="262626"/>
                <w:sz w:val="16"/>
                <w:szCs w:val="16"/>
                <w:u w:val="single"/>
              </w:rPr>
              <w:t>only</w:t>
            </w:r>
            <w:r w:rsidRPr="00177042">
              <w:rPr>
                <w:bCs/>
                <w:i/>
                <w:color w:val="262626"/>
                <w:sz w:val="16"/>
                <w:szCs w:val="16"/>
              </w:rPr>
              <w:t>)</w:t>
            </w:r>
          </w:p>
        </w:tc>
        <w:tc>
          <w:tcPr>
            <w:tcW w:w="7148" w:type="dxa"/>
            <w:gridSpan w:val="3"/>
            <w:shd w:val="clear" w:color="auto" w:fill="CCFFCC"/>
            <w:tcMar>
              <w:top w:w="0" w:type="dxa"/>
              <w:left w:w="108" w:type="dxa"/>
              <w:bottom w:w="0" w:type="dxa"/>
              <w:right w:w="108" w:type="dxa"/>
            </w:tcMar>
          </w:tcPr>
          <w:p w:rsidR="003830A8" w:rsidRPr="00AD6D6B" w:rsidRDefault="003830A8" w:rsidP="003830A8">
            <w:pPr>
              <w:spacing w:after="0"/>
              <w:rPr>
                <w:rFonts w:ascii="Calibri" w:hAnsi="Calibri"/>
                <w:color w:val="262626"/>
                <w:sz w:val="20"/>
                <w:szCs w:val="20"/>
              </w:rPr>
            </w:pPr>
          </w:p>
        </w:tc>
      </w:tr>
      <w:tr w:rsidR="003830A8" w:rsidRPr="00AD6D6B" w:rsidTr="003830A8">
        <w:trPr>
          <w:trHeight w:val="511"/>
        </w:trPr>
        <w:tc>
          <w:tcPr>
            <w:tcW w:w="2448" w:type="dxa"/>
            <w:tcMar>
              <w:top w:w="0" w:type="dxa"/>
              <w:left w:w="108" w:type="dxa"/>
              <w:bottom w:w="0" w:type="dxa"/>
              <w:right w:w="108" w:type="dxa"/>
            </w:tcMar>
          </w:tcPr>
          <w:p w:rsidR="003830A8" w:rsidRDefault="003830A8" w:rsidP="00265071">
            <w:pPr>
              <w:spacing w:after="0"/>
              <w:rPr>
                <w:b/>
                <w:bCs/>
                <w:color w:val="262626"/>
              </w:rPr>
            </w:pPr>
            <w:r>
              <w:rPr>
                <w:b/>
                <w:bCs/>
                <w:color w:val="262626"/>
              </w:rPr>
              <w:t>Urgency level for grant approval &amp; payments</w:t>
            </w:r>
          </w:p>
        </w:tc>
        <w:tc>
          <w:tcPr>
            <w:tcW w:w="3574" w:type="dxa"/>
            <w:gridSpan w:val="2"/>
            <w:tcMar>
              <w:top w:w="0" w:type="dxa"/>
              <w:left w:w="108" w:type="dxa"/>
              <w:bottom w:w="0" w:type="dxa"/>
              <w:right w:w="108" w:type="dxa"/>
            </w:tcMar>
            <w:vAlign w:val="center"/>
          </w:tcPr>
          <w:p w:rsidR="003830A8" w:rsidRPr="00AD6D6B" w:rsidRDefault="006F441A" w:rsidP="00265071">
            <w:pPr>
              <w:pStyle w:val="ColorfulList-Accent11"/>
              <w:spacing w:after="0" w:line="240" w:lineRule="auto"/>
              <w:ind w:left="0"/>
              <w:rPr>
                <w:sz w:val="20"/>
                <w:szCs w:val="20"/>
              </w:rPr>
            </w:pPr>
            <w:sdt>
              <w:sdtPr>
                <w:rPr>
                  <w:sz w:val="20"/>
                  <w:szCs w:val="20"/>
                </w:rPr>
                <w:id w:val="-1431961457"/>
                <w14:checkbox>
                  <w14:checked w14:val="1"/>
                  <w14:checkedState w14:val="2612" w14:font="MS Gothic"/>
                  <w14:uncheckedState w14:val="2610" w14:font="MS Gothic"/>
                </w14:checkbox>
              </w:sdtPr>
              <w:sdtEndPr/>
              <w:sdtContent>
                <w:r w:rsidR="003830A8">
                  <w:rPr>
                    <w:rFonts w:ascii="MS Gothic" w:eastAsia="MS Gothic" w:hAnsi="MS Gothic" w:hint="eastAsia"/>
                    <w:sz w:val="20"/>
                    <w:szCs w:val="20"/>
                  </w:rPr>
                  <w:t>☒</w:t>
                </w:r>
              </w:sdtContent>
            </w:sdt>
            <w:r w:rsidR="003830A8">
              <w:rPr>
                <w:sz w:val="20"/>
                <w:szCs w:val="20"/>
              </w:rPr>
              <w:t xml:space="preserve"> </w:t>
            </w:r>
            <w:r w:rsidR="003830A8" w:rsidRPr="00411B69">
              <w:rPr>
                <w:b/>
                <w:sz w:val="20"/>
                <w:szCs w:val="20"/>
                <w:u w:val="single"/>
              </w:rPr>
              <w:t>Not</w:t>
            </w:r>
            <w:r w:rsidR="003830A8">
              <w:rPr>
                <w:sz w:val="20"/>
                <w:szCs w:val="20"/>
              </w:rPr>
              <w:t xml:space="preserve"> Rapid Response </w:t>
            </w:r>
          </w:p>
        </w:tc>
        <w:tc>
          <w:tcPr>
            <w:tcW w:w="3574" w:type="dxa"/>
            <w:vAlign w:val="center"/>
          </w:tcPr>
          <w:p w:rsidR="003830A8" w:rsidRPr="00AD6D6B" w:rsidRDefault="003830A8" w:rsidP="00265071">
            <w:pPr>
              <w:pStyle w:val="ColorfulList-Accent11"/>
              <w:spacing w:after="0" w:line="240" w:lineRule="auto"/>
              <w:ind w:left="0"/>
              <w:rPr>
                <w:sz w:val="20"/>
                <w:szCs w:val="20"/>
              </w:rPr>
            </w:pPr>
            <w:r w:rsidRPr="00AD6D6B">
              <w:rPr>
                <w:sz w:val="20"/>
                <w:szCs w:val="20"/>
              </w:rPr>
              <w:t xml:space="preserve">  </w:t>
            </w:r>
            <w:sdt>
              <w:sdtPr>
                <w:rPr>
                  <w:sz w:val="20"/>
                  <w:szCs w:val="20"/>
                </w:rPr>
                <w:id w:val="-1454474560"/>
                <w14:checkbox>
                  <w14:checked w14:val="0"/>
                  <w14:checkedState w14:val="2612" w14:font="MS Gothic"/>
                  <w14:uncheckedState w14:val="2610" w14:font="MS Gothic"/>
                </w14:checkbox>
              </w:sdtPr>
              <w:sdtEndPr/>
              <w:sdtContent>
                <w:r w:rsidRPr="00AD6D6B">
                  <w:rPr>
                    <w:rFonts w:ascii="MS Gothic" w:eastAsia="MS Gothic" w:hAnsi="MS Gothic" w:hint="eastAsia"/>
                    <w:sz w:val="20"/>
                    <w:szCs w:val="20"/>
                  </w:rPr>
                  <w:t>☐</w:t>
                </w:r>
              </w:sdtContent>
            </w:sdt>
            <w:r>
              <w:rPr>
                <w:sz w:val="20"/>
                <w:szCs w:val="20"/>
              </w:rPr>
              <w:t xml:space="preserve"> </w:t>
            </w:r>
            <w:r w:rsidRPr="00411B69">
              <w:rPr>
                <w:sz w:val="20"/>
                <w:szCs w:val="20"/>
              </w:rPr>
              <w:t>Rapid Response</w:t>
            </w:r>
            <w:r>
              <w:rPr>
                <w:sz w:val="20"/>
                <w:szCs w:val="20"/>
              </w:rPr>
              <w:t xml:space="preserve"> </w:t>
            </w:r>
            <w:r>
              <w:rPr>
                <w:bCs/>
                <w:i/>
                <w:color w:val="262626"/>
                <w:sz w:val="16"/>
                <w:szCs w:val="16"/>
              </w:rPr>
              <w:t xml:space="preserve">(See procedure on </w:t>
            </w:r>
            <w:hyperlink r:id="rId14" w:history="1">
              <w:r w:rsidRPr="00411B69">
                <w:rPr>
                  <w:rStyle w:val="Hyperlink"/>
                  <w:bCs/>
                  <w:i/>
                  <w:sz w:val="16"/>
                  <w:szCs w:val="16"/>
                </w:rPr>
                <w:t>KARL</w:t>
              </w:r>
            </w:hyperlink>
            <w:r>
              <w:rPr>
                <w:bCs/>
                <w:i/>
                <w:color w:val="262626"/>
                <w:sz w:val="16"/>
                <w:szCs w:val="16"/>
              </w:rPr>
              <w:t>)</w:t>
            </w:r>
          </w:p>
        </w:tc>
      </w:tr>
      <w:tr w:rsidR="003830A8" w:rsidRPr="00AD6D6B" w:rsidTr="003830A8">
        <w:trPr>
          <w:trHeight w:val="287"/>
        </w:trPr>
        <w:tc>
          <w:tcPr>
            <w:tcW w:w="2448" w:type="dxa"/>
            <w:vMerge w:val="restart"/>
            <w:tcMar>
              <w:top w:w="0" w:type="dxa"/>
              <w:left w:w="108" w:type="dxa"/>
              <w:bottom w:w="0" w:type="dxa"/>
              <w:right w:w="108" w:type="dxa"/>
            </w:tcMar>
          </w:tcPr>
          <w:p w:rsidR="003830A8" w:rsidRDefault="003830A8" w:rsidP="00265071">
            <w:pPr>
              <w:spacing w:after="0"/>
              <w:rPr>
                <w:b/>
                <w:bCs/>
                <w:color w:val="262626"/>
              </w:rPr>
            </w:pPr>
            <w:r w:rsidRPr="006512F6">
              <w:rPr>
                <w:b/>
                <w:bCs/>
                <w:color w:val="262626"/>
              </w:rPr>
              <w:t xml:space="preserve">If approved, </w:t>
            </w:r>
            <w:r>
              <w:rPr>
                <w:b/>
                <w:bCs/>
                <w:color w:val="262626"/>
              </w:rPr>
              <w:t>where</w:t>
            </w:r>
            <w:r w:rsidRPr="006512F6">
              <w:rPr>
                <w:b/>
                <w:bCs/>
                <w:color w:val="262626"/>
              </w:rPr>
              <w:t xml:space="preserve"> </w:t>
            </w:r>
            <w:r>
              <w:rPr>
                <w:b/>
                <w:bCs/>
                <w:color w:val="262626"/>
              </w:rPr>
              <w:t xml:space="preserve">to allocate the </w:t>
            </w:r>
            <w:r w:rsidRPr="006512F6">
              <w:rPr>
                <w:b/>
                <w:bCs/>
                <w:color w:val="262626"/>
              </w:rPr>
              <w:t>budget?</w:t>
            </w:r>
            <w:r>
              <w:rPr>
                <w:b/>
                <w:bCs/>
                <w:color w:val="262626"/>
              </w:rPr>
              <w:t xml:space="preserve"> </w:t>
            </w:r>
          </w:p>
          <w:p w:rsidR="003830A8" w:rsidRPr="006512F6" w:rsidRDefault="003830A8" w:rsidP="00265071">
            <w:pPr>
              <w:spacing w:after="0"/>
              <w:rPr>
                <w:b/>
                <w:bCs/>
                <w:color w:val="262626"/>
              </w:rPr>
            </w:pPr>
            <w:r w:rsidRPr="00177042">
              <w:rPr>
                <w:bCs/>
                <w:i/>
                <w:color w:val="262626"/>
                <w:sz w:val="16"/>
                <w:szCs w:val="16"/>
              </w:rPr>
              <w:t>(If the budget is split between multiple programs, please copy/paste this section as needed.)</w:t>
            </w:r>
          </w:p>
        </w:tc>
        <w:tc>
          <w:tcPr>
            <w:tcW w:w="3574" w:type="dxa"/>
            <w:gridSpan w:val="2"/>
            <w:tcMar>
              <w:top w:w="0" w:type="dxa"/>
              <w:left w:w="108" w:type="dxa"/>
              <w:bottom w:w="0" w:type="dxa"/>
              <w:right w:w="108" w:type="dxa"/>
            </w:tcMar>
          </w:tcPr>
          <w:p w:rsidR="003830A8" w:rsidRPr="00AD6D6B" w:rsidRDefault="003830A8" w:rsidP="00265071">
            <w:pPr>
              <w:pStyle w:val="ColorfulList-Accent11"/>
              <w:spacing w:after="0" w:line="240" w:lineRule="auto"/>
              <w:ind w:left="0"/>
              <w:rPr>
                <w:sz w:val="20"/>
                <w:szCs w:val="20"/>
              </w:rPr>
            </w:pPr>
            <w:r w:rsidRPr="00AD6D6B">
              <w:rPr>
                <w:sz w:val="20"/>
                <w:szCs w:val="20"/>
              </w:rPr>
              <w:t>Amount</w:t>
            </w:r>
          </w:p>
        </w:tc>
        <w:tc>
          <w:tcPr>
            <w:tcW w:w="3574" w:type="dxa"/>
          </w:tcPr>
          <w:p w:rsidR="003830A8" w:rsidRPr="00AD6D6B" w:rsidRDefault="003830A8" w:rsidP="00265071">
            <w:pPr>
              <w:pStyle w:val="ColorfulList-Accent11"/>
              <w:spacing w:after="0" w:line="240" w:lineRule="auto"/>
              <w:ind w:left="0"/>
              <w:rPr>
                <w:sz w:val="20"/>
                <w:szCs w:val="20"/>
              </w:rPr>
            </w:pPr>
          </w:p>
        </w:tc>
      </w:tr>
      <w:tr w:rsidR="003830A8" w:rsidRPr="00AD6D6B" w:rsidTr="003830A8">
        <w:trPr>
          <w:trHeight w:val="288"/>
        </w:trPr>
        <w:tc>
          <w:tcPr>
            <w:tcW w:w="2448" w:type="dxa"/>
            <w:vMerge/>
            <w:tcMar>
              <w:top w:w="0" w:type="dxa"/>
              <w:left w:w="108" w:type="dxa"/>
              <w:bottom w:w="0" w:type="dxa"/>
              <w:right w:w="108" w:type="dxa"/>
            </w:tcMar>
          </w:tcPr>
          <w:p w:rsidR="003830A8" w:rsidRPr="006512F6" w:rsidRDefault="003830A8" w:rsidP="00265071">
            <w:pPr>
              <w:spacing w:after="0"/>
              <w:rPr>
                <w:b/>
                <w:bCs/>
                <w:color w:val="262626"/>
              </w:rPr>
            </w:pPr>
          </w:p>
        </w:tc>
        <w:tc>
          <w:tcPr>
            <w:tcW w:w="3574" w:type="dxa"/>
            <w:gridSpan w:val="2"/>
            <w:tcMar>
              <w:top w:w="0" w:type="dxa"/>
              <w:left w:w="108" w:type="dxa"/>
              <w:bottom w:w="0" w:type="dxa"/>
              <w:right w:w="108" w:type="dxa"/>
            </w:tcMar>
          </w:tcPr>
          <w:p w:rsidR="003830A8" w:rsidRPr="00AD6D6B" w:rsidRDefault="003830A8" w:rsidP="00265071">
            <w:pPr>
              <w:pStyle w:val="ColorfulList-Accent11"/>
              <w:spacing w:after="0" w:line="240" w:lineRule="auto"/>
              <w:ind w:left="0"/>
              <w:rPr>
                <w:sz w:val="20"/>
                <w:szCs w:val="20"/>
              </w:rPr>
            </w:pPr>
            <w:r w:rsidRPr="00AD6D6B">
              <w:rPr>
                <w:sz w:val="20"/>
                <w:szCs w:val="20"/>
              </w:rPr>
              <w:t>Category of Work</w:t>
            </w:r>
          </w:p>
        </w:tc>
        <w:tc>
          <w:tcPr>
            <w:tcW w:w="3574" w:type="dxa"/>
          </w:tcPr>
          <w:p w:rsidR="003830A8" w:rsidRPr="00AD6D6B" w:rsidRDefault="003830A8" w:rsidP="00265071">
            <w:pPr>
              <w:pStyle w:val="ColorfulList-Accent11"/>
              <w:spacing w:after="0" w:line="240" w:lineRule="auto"/>
              <w:ind w:left="0"/>
              <w:rPr>
                <w:sz w:val="20"/>
                <w:szCs w:val="20"/>
              </w:rPr>
            </w:pPr>
          </w:p>
        </w:tc>
      </w:tr>
      <w:tr w:rsidR="003830A8" w:rsidRPr="00AD6D6B" w:rsidTr="003830A8">
        <w:trPr>
          <w:trHeight w:val="287"/>
        </w:trPr>
        <w:tc>
          <w:tcPr>
            <w:tcW w:w="2448" w:type="dxa"/>
            <w:vMerge/>
            <w:tcMar>
              <w:top w:w="0" w:type="dxa"/>
              <w:left w:w="108" w:type="dxa"/>
              <w:bottom w:w="0" w:type="dxa"/>
              <w:right w:w="108" w:type="dxa"/>
            </w:tcMar>
          </w:tcPr>
          <w:p w:rsidR="003830A8" w:rsidRPr="006512F6" w:rsidRDefault="003830A8" w:rsidP="00265071">
            <w:pPr>
              <w:spacing w:after="0"/>
              <w:rPr>
                <w:b/>
                <w:bCs/>
                <w:color w:val="262626"/>
              </w:rPr>
            </w:pPr>
          </w:p>
        </w:tc>
        <w:tc>
          <w:tcPr>
            <w:tcW w:w="3574" w:type="dxa"/>
            <w:gridSpan w:val="2"/>
            <w:tcMar>
              <w:top w:w="0" w:type="dxa"/>
              <w:left w:w="108" w:type="dxa"/>
              <w:bottom w:w="0" w:type="dxa"/>
              <w:right w:w="108" w:type="dxa"/>
            </w:tcMar>
          </w:tcPr>
          <w:p w:rsidR="003830A8" w:rsidRPr="00AD6D6B" w:rsidRDefault="003830A8" w:rsidP="00265071">
            <w:pPr>
              <w:pStyle w:val="ColorfulList-Accent11"/>
              <w:spacing w:after="0" w:line="240" w:lineRule="auto"/>
              <w:ind w:left="0"/>
              <w:rPr>
                <w:sz w:val="20"/>
                <w:szCs w:val="20"/>
              </w:rPr>
            </w:pPr>
            <w:r w:rsidRPr="00AD6D6B">
              <w:rPr>
                <w:sz w:val="20"/>
                <w:szCs w:val="20"/>
              </w:rPr>
              <w:t>Division/Program Code</w:t>
            </w:r>
          </w:p>
        </w:tc>
        <w:tc>
          <w:tcPr>
            <w:tcW w:w="3574" w:type="dxa"/>
          </w:tcPr>
          <w:p w:rsidR="003830A8" w:rsidRPr="00AD6D6B" w:rsidRDefault="003830A8" w:rsidP="00265071">
            <w:pPr>
              <w:pStyle w:val="ColorfulList-Accent11"/>
              <w:spacing w:after="0" w:line="240" w:lineRule="auto"/>
              <w:ind w:left="0"/>
              <w:rPr>
                <w:sz w:val="20"/>
                <w:szCs w:val="20"/>
              </w:rPr>
            </w:pPr>
          </w:p>
        </w:tc>
      </w:tr>
      <w:tr w:rsidR="003830A8" w:rsidRPr="00AD6D6B" w:rsidTr="003830A8">
        <w:trPr>
          <w:trHeight w:val="288"/>
        </w:trPr>
        <w:tc>
          <w:tcPr>
            <w:tcW w:w="2448" w:type="dxa"/>
            <w:vMerge/>
            <w:tcMar>
              <w:top w:w="0" w:type="dxa"/>
              <w:left w:w="108" w:type="dxa"/>
              <w:bottom w:w="0" w:type="dxa"/>
              <w:right w:w="108" w:type="dxa"/>
            </w:tcMar>
          </w:tcPr>
          <w:p w:rsidR="003830A8" w:rsidRPr="006512F6" w:rsidRDefault="003830A8" w:rsidP="00265071">
            <w:pPr>
              <w:spacing w:after="0"/>
              <w:rPr>
                <w:b/>
                <w:bCs/>
                <w:color w:val="262626"/>
              </w:rPr>
            </w:pPr>
          </w:p>
        </w:tc>
        <w:tc>
          <w:tcPr>
            <w:tcW w:w="3574" w:type="dxa"/>
            <w:gridSpan w:val="2"/>
            <w:tcMar>
              <w:top w:w="0" w:type="dxa"/>
              <w:left w:w="108" w:type="dxa"/>
              <w:bottom w:w="0" w:type="dxa"/>
              <w:right w:w="108" w:type="dxa"/>
            </w:tcMar>
          </w:tcPr>
          <w:p w:rsidR="003830A8" w:rsidRPr="00AD6D6B" w:rsidRDefault="003830A8" w:rsidP="00265071">
            <w:pPr>
              <w:pStyle w:val="ColorfulList-Accent11"/>
              <w:spacing w:after="0" w:line="240" w:lineRule="auto"/>
              <w:ind w:left="0"/>
              <w:rPr>
                <w:sz w:val="20"/>
                <w:szCs w:val="20"/>
              </w:rPr>
            </w:pPr>
            <w:r w:rsidRPr="00AD6D6B">
              <w:rPr>
                <w:sz w:val="20"/>
                <w:szCs w:val="20"/>
              </w:rPr>
              <w:t xml:space="preserve">Entity </w:t>
            </w:r>
            <w:r w:rsidRPr="00AD6D6B">
              <w:rPr>
                <w:i/>
                <w:sz w:val="20"/>
                <w:szCs w:val="20"/>
              </w:rPr>
              <w:t>(i.e., FPOS, ZUG)</w:t>
            </w:r>
          </w:p>
        </w:tc>
        <w:tc>
          <w:tcPr>
            <w:tcW w:w="3574" w:type="dxa"/>
          </w:tcPr>
          <w:p w:rsidR="003830A8" w:rsidRPr="00AD6D6B" w:rsidRDefault="003830A8" w:rsidP="00265071">
            <w:pPr>
              <w:pStyle w:val="ColorfulList-Accent11"/>
              <w:spacing w:after="0" w:line="240" w:lineRule="auto"/>
              <w:ind w:left="0"/>
              <w:rPr>
                <w:sz w:val="20"/>
                <w:szCs w:val="20"/>
              </w:rPr>
            </w:pPr>
          </w:p>
        </w:tc>
      </w:tr>
      <w:tr w:rsidR="003830A8" w:rsidRPr="00AD6D6B" w:rsidTr="003830A8">
        <w:trPr>
          <w:trHeight w:val="287"/>
        </w:trPr>
        <w:tc>
          <w:tcPr>
            <w:tcW w:w="2448" w:type="dxa"/>
            <w:vMerge/>
            <w:tcMar>
              <w:top w:w="0" w:type="dxa"/>
              <w:left w:w="108" w:type="dxa"/>
              <w:bottom w:w="0" w:type="dxa"/>
              <w:right w:w="108" w:type="dxa"/>
            </w:tcMar>
          </w:tcPr>
          <w:p w:rsidR="003830A8" w:rsidRPr="006512F6" w:rsidRDefault="003830A8" w:rsidP="00265071">
            <w:pPr>
              <w:spacing w:after="0"/>
              <w:rPr>
                <w:b/>
                <w:bCs/>
                <w:color w:val="262626"/>
              </w:rPr>
            </w:pPr>
          </w:p>
        </w:tc>
        <w:tc>
          <w:tcPr>
            <w:tcW w:w="3574" w:type="dxa"/>
            <w:gridSpan w:val="2"/>
            <w:tcMar>
              <w:top w:w="0" w:type="dxa"/>
              <w:left w:w="108" w:type="dxa"/>
              <w:bottom w:w="0" w:type="dxa"/>
              <w:right w:w="108" w:type="dxa"/>
            </w:tcMar>
          </w:tcPr>
          <w:p w:rsidR="003830A8" w:rsidRPr="00AD6D6B" w:rsidRDefault="003830A8" w:rsidP="00265071">
            <w:pPr>
              <w:pStyle w:val="ColorfulList-Accent11"/>
              <w:spacing w:after="0" w:line="240" w:lineRule="auto"/>
              <w:ind w:left="0"/>
              <w:rPr>
                <w:sz w:val="20"/>
                <w:szCs w:val="20"/>
              </w:rPr>
            </w:pPr>
            <w:r w:rsidRPr="00AD6D6B">
              <w:rPr>
                <w:sz w:val="20"/>
                <w:szCs w:val="20"/>
              </w:rPr>
              <w:t xml:space="preserve">Fund Class </w:t>
            </w:r>
            <w:r w:rsidRPr="00AD6D6B">
              <w:rPr>
                <w:i/>
                <w:sz w:val="20"/>
                <w:szCs w:val="20"/>
              </w:rPr>
              <w:t>(i.e., Lobbying/Non-Lobbying)</w:t>
            </w:r>
          </w:p>
        </w:tc>
        <w:tc>
          <w:tcPr>
            <w:tcW w:w="3574" w:type="dxa"/>
          </w:tcPr>
          <w:p w:rsidR="003830A8" w:rsidRPr="00AD6D6B" w:rsidRDefault="003830A8" w:rsidP="00265071">
            <w:pPr>
              <w:pStyle w:val="ColorfulList-Accent11"/>
              <w:spacing w:after="0" w:line="240" w:lineRule="auto"/>
              <w:ind w:left="0"/>
              <w:rPr>
                <w:sz w:val="20"/>
                <w:szCs w:val="20"/>
              </w:rPr>
            </w:pPr>
          </w:p>
        </w:tc>
      </w:tr>
      <w:tr w:rsidR="003830A8" w:rsidRPr="00AD6D6B" w:rsidTr="003830A8">
        <w:trPr>
          <w:trHeight w:val="288"/>
        </w:trPr>
        <w:tc>
          <w:tcPr>
            <w:tcW w:w="2448" w:type="dxa"/>
            <w:vMerge/>
            <w:tcMar>
              <w:top w:w="0" w:type="dxa"/>
              <w:left w:w="108" w:type="dxa"/>
              <w:bottom w:w="0" w:type="dxa"/>
              <w:right w:w="108" w:type="dxa"/>
            </w:tcMar>
          </w:tcPr>
          <w:p w:rsidR="003830A8" w:rsidRPr="006512F6" w:rsidRDefault="003830A8" w:rsidP="00265071">
            <w:pPr>
              <w:spacing w:after="0"/>
              <w:rPr>
                <w:b/>
                <w:bCs/>
                <w:color w:val="262626"/>
              </w:rPr>
            </w:pPr>
          </w:p>
        </w:tc>
        <w:tc>
          <w:tcPr>
            <w:tcW w:w="3574" w:type="dxa"/>
            <w:gridSpan w:val="2"/>
            <w:tcMar>
              <w:top w:w="0" w:type="dxa"/>
              <w:left w:w="108" w:type="dxa"/>
              <w:bottom w:w="0" w:type="dxa"/>
              <w:right w:w="108" w:type="dxa"/>
            </w:tcMar>
          </w:tcPr>
          <w:p w:rsidR="003830A8" w:rsidRPr="00AD6D6B" w:rsidRDefault="003830A8" w:rsidP="00265071">
            <w:pPr>
              <w:pStyle w:val="ColorfulList-Accent11"/>
              <w:spacing w:after="0" w:line="240" w:lineRule="auto"/>
              <w:ind w:left="0"/>
              <w:rPr>
                <w:sz w:val="20"/>
                <w:szCs w:val="20"/>
              </w:rPr>
            </w:pPr>
            <w:r w:rsidRPr="00AD6D6B">
              <w:rPr>
                <w:sz w:val="20"/>
                <w:szCs w:val="20"/>
              </w:rPr>
              <w:t xml:space="preserve">Geography </w:t>
            </w:r>
            <w:r w:rsidRPr="00AD6D6B">
              <w:rPr>
                <w:i/>
                <w:sz w:val="20"/>
                <w:szCs w:val="20"/>
              </w:rPr>
              <w:t>(of benefit)</w:t>
            </w:r>
          </w:p>
        </w:tc>
        <w:tc>
          <w:tcPr>
            <w:tcW w:w="3574" w:type="dxa"/>
          </w:tcPr>
          <w:p w:rsidR="003830A8" w:rsidRPr="00AD6D6B" w:rsidRDefault="003830A8" w:rsidP="00265071">
            <w:pPr>
              <w:pStyle w:val="ColorfulList-Accent11"/>
              <w:spacing w:after="0" w:line="240" w:lineRule="auto"/>
              <w:ind w:left="0"/>
              <w:rPr>
                <w:sz w:val="20"/>
                <w:szCs w:val="20"/>
              </w:rPr>
            </w:pPr>
          </w:p>
        </w:tc>
      </w:tr>
    </w:tbl>
    <w:p w:rsidR="003425C8" w:rsidRDefault="003425C8"/>
    <w:sectPr w:rsidR="003425C8" w:rsidSect="00C97E5A">
      <w:footerReference w:type="default" r:id="rId15"/>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41A" w:rsidRDefault="006F441A">
      <w:pPr>
        <w:spacing w:after="0" w:line="240" w:lineRule="auto"/>
      </w:pPr>
      <w:r>
        <w:separator/>
      </w:r>
    </w:p>
  </w:endnote>
  <w:endnote w:type="continuationSeparator" w:id="0">
    <w:p w:rsidR="006F441A" w:rsidRDefault="006F44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Lucida Grande">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071" w:rsidRDefault="00265071" w:rsidP="001D14BC">
    <w:pPr>
      <w:pStyle w:val="Footer"/>
    </w:pPr>
    <w:r>
      <w:tab/>
    </w:r>
    <w:r w:rsidRPr="00C91F54">
      <w:rPr>
        <w:b/>
      </w:rPr>
      <w:t xml:space="preserve">Page </w:t>
    </w:r>
    <w:r>
      <w:fldChar w:fldCharType="begin"/>
    </w:r>
    <w:r>
      <w:instrText xml:space="preserve"> PAGE   \* MERGEFORMAT </w:instrText>
    </w:r>
    <w:r>
      <w:fldChar w:fldCharType="separate"/>
    </w:r>
    <w:r w:rsidR="00175FFF" w:rsidRPr="00175FFF">
      <w:rPr>
        <w:b/>
        <w:noProof/>
      </w:rPr>
      <w:t>1</w:t>
    </w:r>
    <w:r>
      <w:rPr>
        <w:b/>
        <w:noProof/>
      </w:rPr>
      <w:fldChar w:fldCharType="end"/>
    </w:r>
    <w:r>
      <w:rPr>
        <w:noProof/>
      </w:rPr>
      <w:tab/>
    </w:r>
    <w:r w:rsidR="003104E4" w:rsidRPr="00C97E5A">
      <w:rPr>
        <w:i/>
        <w:noProof/>
      </w:rPr>
      <w:t>Effective April 1,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41A" w:rsidRDefault="006F441A">
      <w:pPr>
        <w:spacing w:after="0" w:line="240" w:lineRule="auto"/>
      </w:pPr>
      <w:r>
        <w:separator/>
      </w:r>
    </w:p>
  </w:footnote>
  <w:footnote w:type="continuationSeparator" w:id="0">
    <w:p w:rsidR="006F441A" w:rsidRDefault="006F44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A7FD6"/>
    <w:multiLevelType w:val="hybridMultilevel"/>
    <w:tmpl w:val="F0A0BA8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AB158A"/>
    <w:multiLevelType w:val="hybridMultilevel"/>
    <w:tmpl w:val="F768D6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5BE"/>
    <w:rsid w:val="00010B3D"/>
    <w:rsid w:val="00043AD5"/>
    <w:rsid w:val="00061927"/>
    <w:rsid w:val="00071ACF"/>
    <w:rsid w:val="00081462"/>
    <w:rsid w:val="000A6A95"/>
    <w:rsid w:val="000D5A72"/>
    <w:rsid w:val="000E4EF8"/>
    <w:rsid w:val="00173C1F"/>
    <w:rsid w:val="00175D1B"/>
    <w:rsid w:val="00175FFF"/>
    <w:rsid w:val="001B4FAE"/>
    <w:rsid w:val="001D14BC"/>
    <w:rsid w:val="001D409F"/>
    <w:rsid w:val="001D444E"/>
    <w:rsid w:val="001D77C4"/>
    <w:rsid w:val="00265071"/>
    <w:rsid w:val="00290C2A"/>
    <w:rsid w:val="002F43E2"/>
    <w:rsid w:val="003104E4"/>
    <w:rsid w:val="00320F5A"/>
    <w:rsid w:val="00324F07"/>
    <w:rsid w:val="003425C8"/>
    <w:rsid w:val="00354C31"/>
    <w:rsid w:val="003830A8"/>
    <w:rsid w:val="003E14DD"/>
    <w:rsid w:val="00465EDF"/>
    <w:rsid w:val="00491608"/>
    <w:rsid w:val="004962C1"/>
    <w:rsid w:val="00554D7E"/>
    <w:rsid w:val="00556B92"/>
    <w:rsid w:val="005673FE"/>
    <w:rsid w:val="005700E4"/>
    <w:rsid w:val="005B3EBA"/>
    <w:rsid w:val="0068704B"/>
    <w:rsid w:val="006B704C"/>
    <w:rsid w:val="006F441A"/>
    <w:rsid w:val="006F6A54"/>
    <w:rsid w:val="00742966"/>
    <w:rsid w:val="00754994"/>
    <w:rsid w:val="007A144A"/>
    <w:rsid w:val="007D3C6E"/>
    <w:rsid w:val="008401C3"/>
    <w:rsid w:val="00850DE5"/>
    <w:rsid w:val="00852D78"/>
    <w:rsid w:val="00890664"/>
    <w:rsid w:val="008E7898"/>
    <w:rsid w:val="00907546"/>
    <w:rsid w:val="00937EE8"/>
    <w:rsid w:val="00971F8A"/>
    <w:rsid w:val="00AE6597"/>
    <w:rsid w:val="00B3135B"/>
    <w:rsid w:val="00B45EEE"/>
    <w:rsid w:val="00B814A1"/>
    <w:rsid w:val="00B9294F"/>
    <w:rsid w:val="00B93D2B"/>
    <w:rsid w:val="00BB16DE"/>
    <w:rsid w:val="00C472BB"/>
    <w:rsid w:val="00C97E5A"/>
    <w:rsid w:val="00CB1E74"/>
    <w:rsid w:val="00CD1CF9"/>
    <w:rsid w:val="00CF5C79"/>
    <w:rsid w:val="00D65D31"/>
    <w:rsid w:val="00DB3A94"/>
    <w:rsid w:val="00E02470"/>
    <w:rsid w:val="00E075BE"/>
    <w:rsid w:val="00E0763A"/>
    <w:rsid w:val="00E2213F"/>
    <w:rsid w:val="00E47D21"/>
    <w:rsid w:val="00E93CA5"/>
    <w:rsid w:val="00EB28BB"/>
    <w:rsid w:val="00EC6032"/>
    <w:rsid w:val="00ED73C5"/>
    <w:rsid w:val="00EF3975"/>
    <w:rsid w:val="00F65538"/>
    <w:rsid w:val="00F86E32"/>
  </w:rsids>
  <m:mathPr>
    <m:mathFont m:val="Cambria Math"/>
    <m:brkBin m:val="before"/>
    <m:brkBinSub m:val="--"/>
    <m:smallFrac/>
    <m:dispDef/>
    <m:lMargin m:val="0"/>
    <m:rMargin m:val="0"/>
    <m:defJc m:val="centerGroup"/>
    <m:wrapIndent m:val="1440"/>
    <m:intLim m:val="subSup"/>
    <m:naryLim m:val="undOvr"/>
  </m:mathPr>
  <w:themeFontLang w:val="en-US" w:eastAsia="ja-JP"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5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75BE"/>
    <w:pPr>
      <w:spacing w:after="0" w:line="240" w:lineRule="auto"/>
      <w:ind w:left="720"/>
    </w:pPr>
    <w:rPr>
      <w:rFonts w:ascii="Calibri" w:eastAsia="Times New Roman" w:hAnsi="Calibri" w:cs="Times New Roman"/>
    </w:rPr>
  </w:style>
  <w:style w:type="paragraph" w:styleId="Header">
    <w:name w:val="header"/>
    <w:basedOn w:val="Normal"/>
    <w:link w:val="HeaderChar"/>
    <w:uiPriority w:val="99"/>
    <w:unhideWhenUsed/>
    <w:rsid w:val="00E075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75BE"/>
  </w:style>
  <w:style w:type="paragraph" w:styleId="Footer">
    <w:name w:val="footer"/>
    <w:basedOn w:val="Normal"/>
    <w:link w:val="FooterChar"/>
    <w:uiPriority w:val="99"/>
    <w:unhideWhenUsed/>
    <w:rsid w:val="00E075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75BE"/>
  </w:style>
  <w:style w:type="paragraph" w:styleId="NoSpacing">
    <w:name w:val="No Spacing"/>
    <w:uiPriority w:val="1"/>
    <w:qFormat/>
    <w:rsid w:val="00E075BE"/>
    <w:pPr>
      <w:spacing w:after="0" w:line="240" w:lineRule="auto"/>
    </w:pPr>
  </w:style>
  <w:style w:type="paragraph" w:customStyle="1" w:styleId="ColorfulList-Accent11">
    <w:name w:val="Colorful List - Accent 11"/>
    <w:basedOn w:val="Normal"/>
    <w:uiPriority w:val="34"/>
    <w:rsid w:val="00E075BE"/>
    <w:pPr>
      <w:ind w:left="720"/>
      <w:contextualSpacing/>
    </w:pPr>
    <w:rPr>
      <w:rFonts w:ascii="Calibri" w:hAnsi="Calibri" w:cs="Times New Roman"/>
    </w:rPr>
  </w:style>
  <w:style w:type="paragraph" w:styleId="BalloonText">
    <w:name w:val="Balloon Text"/>
    <w:basedOn w:val="Normal"/>
    <w:link w:val="BalloonTextChar"/>
    <w:uiPriority w:val="99"/>
    <w:semiHidden/>
    <w:unhideWhenUsed/>
    <w:rsid w:val="005700E4"/>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700E4"/>
    <w:rPr>
      <w:rFonts w:ascii="Lucida Grande" w:hAnsi="Lucida Grande"/>
      <w:sz w:val="18"/>
      <w:szCs w:val="18"/>
    </w:rPr>
  </w:style>
  <w:style w:type="character" w:styleId="CommentReference">
    <w:name w:val="annotation reference"/>
    <w:basedOn w:val="DefaultParagraphFont"/>
    <w:uiPriority w:val="99"/>
    <w:semiHidden/>
    <w:unhideWhenUsed/>
    <w:rsid w:val="008E7898"/>
    <w:rPr>
      <w:sz w:val="18"/>
      <w:szCs w:val="18"/>
    </w:rPr>
  </w:style>
  <w:style w:type="paragraph" w:styleId="CommentText">
    <w:name w:val="annotation text"/>
    <w:basedOn w:val="Normal"/>
    <w:link w:val="CommentTextChar"/>
    <w:uiPriority w:val="99"/>
    <w:semiHidden/>
    <w:unhideWhenUsed/>
    <w:rsid w:val="008E7898"/>
    <w:pPr>
      <w:spacing w:line="240" w:lineRule="auto"/>
    </w:pPr>
    <w:rPr>
      <w:sz w:val="24"/>
      <w:szCs w:val="24"/>
    </w:rPr>
  </w:style>
  <w:style w:type="character" w:customStyle="1" w:styleId="CommentTextChar">
    <w:name w:val="Comment Text Char"/>
    <w:basedOn w:val="DefaultParagraphFont"/>
    <w:link w:val="CommentText"/>
    <w:uiPriority w:val="99"/>
    <w:semiHidden/>
    <w:rsid w:val="008E7898"/>
    <w:rPr>
      <w:sz w:val="24"/>
      <w:szCs w:val="24"/>
    </w:rPr>
  </w:style>
  <w:style w:type="paragraph" w:styleId="CommentSubject">
    <w:name w:val="annotation subject"/>
    <w:basedOn w:val="CommentText"/>
    <w:next w:val="CommentText"/>
    <w:link w:val="CommentSubjectChar"/>
    <w:uiPriority w:val="99"/>
    <w:semiHidden/>
    <w:unhideWhenUsed/>
    <w:rsid w:val="008E7898"/>
    <w:rPr>
      <w:b/>
      <w:bCs/>
      <w:sz w:val="20"/>
      <w:szCs w:val="20"/>
    </w:rPr>
  </w:style>
  <w:style w:type="character" w:customStyle="1" w:styleId="CommentSubjectChar">
    <w:name w:val="Comment Subject Char"/>
    <w:basedOn w:val="CommentTextChar"/>
    <w:link w:val="CommentSubject"/>
    <w:uiPriority w:val="99"/>
    <w:semiHidden/>
    <w:rsid w:val="008E7898"/>
    <w:rPr>
      <w:b/>
      <w:bCs/>
      <w:sz w:val="20"/>
      <w:szCs w:val="20"/>
    </w:rPr>
  </w:style>
  <w:style w:type="character" w:styleId="Hyperlink">
    <w:name w:val="Hyperlink"/>
    <w:basedOn w:val="DefaultParagraphFont"/>
    <w:uiPriority w:val="99"/>
    <w:unhideWhenUsed/>
    <w:rsid w:val="00DB3A94"/>
    <w:rPr>
      <w:color w:val="0000FF" w:themeColor="hyperlink"/>
      <w:u w:val="single"/>
    </w:rPr>
  </w:style>
  <w:style w:type="character" w:styleId="FollowedHyperlink">
    <w:name w:val="FollowedHyperlink"/>
    <w:basedOn w:val="DefaultParagraphFont"/>
    <w:uiPriority w:val="99"/>
    <w:semiHidden/>
    <w:unhideWhenUsed/>
    <w:rsid w:val="00850DE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5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75BE"/>
    <w:pPr>
      <w:spacing w:after="0" w:line="240" w:lineRule="auto"/>
      <w:ind w:left="720"/>
    </w:pPr>
    <w:rPr>
      <w:rFonts w:ascii="Calibri" w:eastAsia="Times New Roman" w:hAnsi="Calibri" w:cs="Times New Roman"/>
    </w:rPr>
  </w:style>
  <w:style w:type="paragraph" w:styleId="Header">
    <w:name w:val="header"/>
    <w:basedOn w:val="Normal"/>
    <w:link w:val="HeaderChar"/>
    <w:uiPriority w:val="99"/>
    <w:unhideWhenUsed/>
    <w:rsid w:val="00E075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75BE"/>
  </w:style>
  <w:style w:type="paragraph" w:styleId="Footer">
    <w:name w:val="footer"/>
    <w:basedOn w:val="Normal"/>
    <w:link w:val="FooterChar"/>
    <w:uiPriority w:val="99"/>
    <w:unhideWhenUsed/>
    <w:rsid w:val="00E075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75BE"/>
  </w:style>
  <w:style w:type="paragraph" w:styleId="NoSpacing">
    <w:name w:val="No Spacing"/>
    <w:uiPriority w:val="1"/>
    <w:qFormat/>
    <w:rsid w:val="00E075BE"/>
    <w:pPr>
      <w:spacing w:after="0" w:line="240" w:lineRule="auto"/>
    </w:pPr>
  </w:style>
  <w:style w:type="paragraph" w:customStyle="1" w:styleId="ColorfulList-Accent11">
    <w:name w:val="Colorful List - Accent 11"/>
    <w:basedOn w:val="Normal"/>
    <w:uiPriority w:val="34"/>
    <w:rsid w:val="00E075BE"/>
    <w:pPr>
      <w:ind w:left="720"/>
      <w:contextualSpacing/>
    </w:pPr>
    <w:rPr>
      <w:rFonts w:ascii="Calibri" w:hAnsi="Calibri" w:cs="Times New Roman"/>
    </w:rPr>
  </w:style>
  <w:style w:type="paragraph" w:styleId="BalloonText">
    <w:name w:val="Balloon Text"/>
    <w:basedOn w:val="Normal"/>
    <w:link w:val="BalloonTextChar"/>
    <w:uiPriority w:val="99"/>
    <w:semiHidden/>
    <w:unhideWhenUsed/>
    <w:rsid w:val="005700E4"/>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700E4"/>
    <w:rPr>
      <w:rFonts w:ascii="Lucida Grande" w:hAnsi="Lucida Grande"/>
      <w:sz w:val="18"/>
      <w:szCs w:val="18"/>
    </w:rPr>
  </w:style>
  <w:style w:type="character" w:styleId="CommentReference">
    <w:name w:val="annotation reference"/>
    <w:basedOn w:val="DefaultParagraphFont"/>
    <w:uiPriority w:val="99"/>
    <w:semiHidden/>
    <w:unhideWhenUsed/>
    <w:rsid w:val="008E7898"/>
    <w:rPr>
      <w:sz w:val="18"/>
      <w:szCs w:val="18"/>
    </w:rPr>
  </w:style>
  <w:style w:type="paragraph" w:styleId="CommentText">
    <w:name w:val="annotation text"/>
    <w:basedOn w:val="Normal"/>
    <w:link w:val="CommentTextChar"/>
    <w:uiPriority w:val="99"/>
    <w:semiHidden/>
    <w:unhideWhenUsed/>
    <w:rsid w:val="008E7898"/>
    <w:pPr>
      <w:spacing w:line="240" w:lineRule="auto"/>
    </w:pPr>
    <w:rPr>
      <w:sz w:val="24"/>
      <w:szCs w:val="24"/>
    </w:rPr>
  </w:style>
  <w:style w:type="character" w:customStyle="1" w:styleId="CommentTextChar">
    <w:name w:val="Comment Text Char"/>
    <w:basedOn w:val="DefaultParagraphFont"/>
    <w:link w:val="CommentText"/>
    <w:uiPriority w:val="99"/>
    <w:semiHidden/>
    <w:rsid w:val="008E7898"/>
    <w:rPr>
      <w:sz w:val="24"/>
      <w:szCs w:val="24"/>
    </w:rPr>
  </w:style>
  <w:style w:type="paragraph" w:styleId="CommentSubject">
    <w:name w:val="annotation subject"/>
    <w:basedOn w:val="CommentText"/>
    <w:next w:val="CommentText"/>
    <w:link w:val="CommentSubjectChar"/>
    <w:uiPriority w:val="99"/>
    <w:semiHidden/>
    <w:unhideWhenUsed/>
    <w:rsid w:val="008E7898"/>
    <w:rPr>
      <w:b/>
      <w:bCs/>
      <w:sz w:val="20"/>
      <w:szCs w:val="20"/>
    </w:rPr>
  </w:style>
  <w:style w:type="character" w:customStyle="1" w:styleId="CommentSubjectChar">
    <w:name w:val="Comment Subject Char"/>
    <w:basedOn w:val="CommentTextChar"/>
    <w:link w:val="CommentSubject"/>
    <w:uiPriority w:val="99"/>
    <w:semiHidden/>
    <w:rsid w:val="008E7898"/>
    <w:rPr>
      <w:b/>
      <w:bCs/>
      <w:sz w:val="20"/>
      <w:szCs w:val="20"/>
    </w:rPr>
  </w:style>
  <w:style w:type="character" w:styleId="Hyperlink">
    <w:name w:val="Hyperlink"/>
    <w:basedOn w:val="DefaultParagraphFont"/>
    <w:uiPriority w:val="99"/>
    <w:unhideWhenUsed/>
    <w:rsid w:val="00DB3A94"/>
    <w:rPr>
      <w:color w:val="0000FF" w:themeColor="hyperlink"/>
      <w:u w:val="single"/>
    </w:rPr>
  </w:style>
  <w:style w:type="character" w:styleId="FollowedHyperlink">
    <w:name w:val="FollowedHyperlink"/>
    <w:basedOn w:val="DefaultParagraphFont"/>
    <w:uiPriority w:val="99"/>
    <w:semiHidden/>
    <w:unhideWhenUsed/>
    <w:rsid w:val="00850DE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907840">
      <w:bodyDiv w:val="1"/>
      <w:marLeft w:val="0"/>
      <w:marRight w:val="0"/>
      <w:marTop w:val="0"/>
      <w:marBottom w:val="0"/>
      <w:divBdr>
        <w:top w:val="none" w:sz="0" w:space="0" w:color="auto"/>
        <w:left w:val="none" w:sz="0" w:space="0" w:color="auto"/>
        <w:bottom w:val="none" w:sz="0" w:space="0" w:color="auto"/>
        <w:right w:val="none" w:sz="0" w:space="0" w:color="auto"/>
      </w:divBdr>
    </w:div>
    <w:div w:id="92900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karl.soros.org/communities/reserves/view.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karl.soros.org/communities/reserves/view.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arl.soros.org/communities/reserves/files/ii.-policies/policy-on-how-nfs-access-reserve-fund-cash.docx/"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karl.soros.org/communities/budget/files/resources/policy/management-commitment-criteria.docx/" TargetMode="External"/><Relationship Id="rId4" Type="http://schemas.microsoft.com/office/2007/relationships/stylesWithEffects" Target="stylesWithEffects.xml"/><Relationship Id="rId9" Type="http://schemas.openxmlformats.org/officeDocument/2006/relationships/hyperlink" Target="https://karl.soros.org/communities/reserves/files/ii.-policies/reserve-policies-effective-march-2014-7-mar-2014.docx/" TargetMode="External"/><Relationship Id="rId14" Type="http://schemas.openxmlformats.org/officeDocument/2006/relationships/hyperlink" Target="https://karl.soros.org/communities/reserves/files/ii.-policies/rapid-response-as-of-10-november-2014.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607D8-A2E6-4937-9B21-959189D6D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1464</Words>
  <Characters>8347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Open Society Foundations</Company>
  <LinksUpToDate>false</LinksUpToDate>
  <CharactersWithSpaces>9792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 Choong</dc:creator>
  <cp:lastModifiedBy>Shehnaz</cp:lastModifiedBy>
  <cp:revision>2</cp:revision>
  <cp:lastPrinted>2015-04-01T12:45:00Z</cp:lastPrinted>
  <dcterms:created xsi:type="dcterms:W3CDTF">2015-06-24T08:37:00Z</dcterms:created>
  <dcterms:modified xsi:type="dcterms:W3CDTF">2015-06-24T08:37:00Z</dcterms:modified>
</cp:coreProperties>
</file>